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4A0"/>
      </w:tblPr>
      <w:tblGrid>
        <w:gridCol w:w="2330"/>
        <w:gridCol w:w="340"/>
        <w:gridCol w:w="6520"/>
      </w:tblGrid>
      <w:tr w:rsidR="00EC0342" w:rsidRPr="00EC0342" w:rsidTr="00EC0342">
        <w:trPr>
          <w:trHeight w:val="23"/>
        </w:trPr>
        <w:tc>
          <w:tcPr>
            <w:tcW w:w="9190" w:type="dxa"/>
            <w:gridSpan w:val="3"/>
          </w:tcPr>
          <w:p w:rsidR="00EC0342" w:rsidRPr="00EC0342" w:rsidRDefault="00EC0342" w:rsidP="006366DA">
            <w:pPr>
              <w:suppressAutoHyphens w:val="0"/>
              <w:spacing w:after="0"/>
              <w:jc w:val="left"/>
              <w:rPr>
                <w:bCs/>
                <w:sz w:val="28"/>
                <w:szCs w:val="28"/>
                <w:lang w:eastAsia="en-US"/>
              </w:rPr>
            </w:pPr>
            <w:bookmarkStart w:id="0" w:name="_Ref119427269"/>
          </w:p>
        </w:tc>
      </w:tr>
      <w:tr w:rsidR="00EC0342" w:rsidRPr="00EC0342" w:rsidTr="00EC0342">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51136F" w:rsidP="00EC0342">
            <w:pPr>
              <w:suppressAutoHyphens w:val="0"/>
              <w:autoSpaceDE w:val="0"/>
              <w:autoSpaceDN w:val="0"/>
              <w:adjustRightInd w:val="0"/>
              <w:spacing w:after="0" w:line="276" w:lineRule="auto"/>
              <w:rPr>
                <w:bCs/>
                <w:sz w:val="28"/>
                <w:szCs w:val="28"/>
                <w:lang w:eastAsia="en-US"/>
              </w:rPr>
            </w:pPr>
            <w:r>
              <w:rPr>
                <w:b/>
              </w:rPr>
              <w:t>Раздел 7. Проект</w:t>
            </w:r>
          </w:p>
        </w:tc>
      </w:tr>
    </w:tbl>
    <w:bookmarkEnd w:id="0"/>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742B5E" w:rsidP="003278E8">
      <w:pPr>
        <w:jc w:val="center"/>
        <w:rPr>
          <w:spacing w:val="-16"/>
          <w:kern w:val="16"/>
        </w:rPr>
      </w:pPr>
      <w:r>
        <w:t xml:space="preserve">п. Таежный </w:t>
      </w:r>
      <w:r w:rsidR="003278E8">
        <w:rPr>
          <w:spacing w:val="-16"/>
          <w:kern w:val="16"/>
        </w:rPr>
        <w:t xml:space="preserve">«_____»_______________ </w:t>
      </w:r>
      <w:r w:rsidR="003278E8" w:rsidRPr="00DC200E">
        <w:rPr>
          <w:spacing w:val="-16"/>
          <w:kern w:val="16"/>
        </w:rPr>
        <w:t xml:space="preserve"> 20</w:t>
      </w:r>
      <w:r w:rsidR="00EA4C65">
        <w:rPr>
          <w:spacing w:val="-16"/>
          <w:kern w:val="16"/>
        </w:rPr>
        <w:t>22</w:t>
      </w:r>
      <w:r w:rsidR="003278E8" w:rsidRPr="00DC200E">
        <w:rPr>
          <w:spacing w:val="-16"/>
          <w:kern w:val="16"/>
        </w:rPr>
        <w:t xml:space="preserve"> г.</w:t>
      </w:r>
    </w:p>
    <w:p w:rsidR="003278E8" w:rsidRPr="00DC200E" w:rsidRDefault="003278E8" w:rsidP="003278E8">
      <w:pPr>
        <w:widowControl w:val="0"/>
        <w:spacing w:after="0"/>
      </w:pPr>
      <w:r w:rsidRPr="00DC200E">
        <w:t>___________________________________________________________________</w:t>
      </w:r>
      <w:r>
        <w:t>______________</w:t>
      </w:r>
      <w:r w:rsidRPr="00DC200E">
        <w:t xml:space="preserve"> в лице </w:t>
      </w:r>
    </w:p>
    <w:p w:rsidR="003278E8" w:rsidRPr="00DC200E" w:rsidRDefault="003278E8" w:rsidP="003278E8">
      <w:pPr>
        <w:widowControl w:val="0"/>
        <w:spacing w:after="0"/>
        <w:ind w:firstLine="709"/>
        <w:rPr>
          <w:vertAlign w:val="superscript"/>
        </w:rPr>
      </w:pPr>
      <w:r w:rsidRPr="00DC200E">
        <w:rPr>
          <w:vertAlign w:val="superscript"/>
        </w:rPr>
        <w:t>наименование управляющей организации</w:t>
      </w:r>
    </w:p>
    <w:p w:rsidR="003278E8" w:rsidRDefault="003278E8" w:rsidP="003278E8">
      <w:pPr>
        <w:widowControl w:val="0"/>
        <w:spacing w:after="0"/>
        <w:ind w:firstLine="709"/>
      </w:pPr>
      <w:r w:rsidRPr="00DC200E">
        <w:t>_______</w:t>
      </w:r>
      <w:r>
        <w:t>____________________________</w:t>
      </w:r>
      <w:r w:rsidRPr="00DC200E">
        <w:t>____</w:t>
      </w:r>
      <w:r>
        <w:t>_____________________</w:t>
      </w:r>
      <w:r w:rsidRPr="00DC200E">
        <w:t>__, действующего на основании</w:t>
      </w:r>
    </w:p>
    <w:p w:rsidR="003278E8" w:rsidRDefault="003278E8" w:rsidP="003278E8">
      <w:pPr>
        <w:widowControl w:val="0"/>
        <w:spacing w:after="0"/>
        <w:ind w:firstLine="709"/>
        <w:rPr>
          <w:vertAlign w:val="superscript"/>
        </w:rPr>
      </w:pPr>
      <w:r w:rsidRPr="00DC200E">
        <w:rPr>
          <w:vertAlign w:val="superscript"/>
        </w:rPr>
        <w:t>наименование должности, Ф.И.О.</w:t>
      </w:r>
    </w:p>
    <w:p w:rsidR="003278E8" w:rsidRPr="0060762F" w:rsidRDefault="003278E8" w:rsidP="003278E8">
      <w:pPr>
        <w:widowControl w:val="0"/>
        <w:spacing w:after="0"/>
        <w:ind w:firstLine="709"/>
      </w:pP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являющийся(яся) на основании _______________________________</w:t>
      </w:r>
      <w:r>
        <w:t>__</w:t>
      </w:r>
      <w:r w:rsidRPr="00DC200E">
        <w:t xml:space="preserve">собственникомжилого помещения в многоквартирном доме, расположенном по адресу: </w:t>
      </w:r>
      <w:r w:rsidR="00742B5E">
        <w:t xml:space="preserve">п. Таежный </w:t>
      </w:r>
      <w:r>
        <w:t xml:space="preserve">, </w:t>
      </w:r>
      <w:r w:rsidRPr="00DC200E">
        <w:t xml:space="preserve">ул. </w:t>
      </w:r>
      <w:r>
        <w:t>_______________</w:t>
      </w:r>
      <w:r w:rsidRPr="00DC200E">
        <w:t xml:space="preserve">, д. </w:t>
      </w:r>
      <w:r>
        <w:t>____</w:t>
      </w:r>
      <w:r w:rsidRPr="00DC200E">
        <w:t>, к</w:t>
      </w:r>
      <w:r>
        <w:t>в</w:t>
      </w:r>
      <w:r w:rsidRPr="00DC200E">
        <w:t>. _____, общей площадью ______кв.</w:t>
      </w:r>
      <w:r>
        <w:t xml:space="preserve"> м</w:t>
      </w:r>
      <w:r w:rsidRPr="00DC200E">
        <w:t>, именуемый(ая)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EA4C65">
        <w:t>2</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EA4C65">
        <w:t>2</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8" w:history="1">
        <w:r w:rsidRPr="0060762F">
          <w:t>Конституцией</w:t>
        </w:r>
      </w:hyperlink>
      <w:r w:rsidRPr="0060762F">
        <w:t xml:space="preserve"> Российской Федерации, Гражданским </w:t>
      </w:r>
      <w:hyperlink r:id="rId9" w:history="1">
        <w:r w:rsidRPr="0060762F">
          <w:t>кодексом</w:t>
        </w:r>
      </w:hyperlink>
      <w:r w:rsidRPr="0060762F">
        <w:t xml:space="preserve"> Российской Федерации, Жилищным </w:t>
      </w:r>
      <w:hyperlink r:id="rId10" w:history="1">
        <w:r w:rsidRPr="0060762F">
          <w:t>кодексом</w:t>
        </w:r>
      </w:hyperlink>
      <w:r w:rsidRPr="0060762F">
        <w:t xml:space="preserve"> Российской Федерации, </w:t>
      </w:r>
      <w:hyperlink r:id="rId11"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12"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Информация в соответствии со стандартом раскрытия информации размещена на:</w:t>
      </w:r>
    </w:p>
    <w:p w:rsidR="003278E8" w:rsidRPr="0060762F" w:rsidRDefault="003278E8" w:rsidP="003278E8">
      <w:pPr>
        <w:widowControl w:val="0"/>
        <w:spacing w:after="0"/>
        <w:ind w:firstLine="709"/>
      </w:pPr>
      <w:r w:rsidRPr="0060762F">
        <w:t>- официальном сайте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t>- сайте управляющей организации_______</w:t>
      </w:r>
      <w:r>
        <w:t xml:space="preserve">___________________________________. </w:t>
      </w:r>
    </w:p>
    <w:p w:rsidR="003278E8" w:rsidRDefault="003278E8" w:rsidP="003278E8">
      <w:pPr>
        <w:widowControl w:val="0"/>
        <w:spacing w:after="0"/>
        <w:ind w:firstLine="709"/>
      </w:pPr>
      <w:r>
        <w:lastRenderedPageBreak/>
        <w:t xml:space="preserve">2.5. Формирование фонда капитального ремонта осуществляется на счете «Региональный </w:t>
      </w:r>
      <w:r w:rsidR="00742B5E">
        <w:t>фонд</w:t>
      </w:r>
      <w:r>
        <w:t xml:space="preserve"> капитального ремонта общего имущества в многоквартирных домах</w:t>
      </w:r>
      <w:r w:rsidR="00742B5E">
        <w:t xml:space="preserve"> на территории Красноярского края</w:t>
      </w:r>
      <w:r>
        <w:t>».</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w:t>
      </w:r>
      <w:r w:rsidRPr="0060762F">
        <w:lastRenderedPageBreak/>
        <w:t>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3.1.19.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щению(ям)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w:t>
      </w:r>
      <w:r w:rsidRPr="0060762F">
        <w:lastRenderedPageBreak/>
        <w:t>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способа обеспечения исполнения обязательств Управляющей организации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00742B5E">
        <w:t xml:space="preserve"> при его отсутствии на территории</w:t>
      </w:r>
      <w:r w:rsidRPr="0060762F">
        <w:t xml:space="preserve">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w:t>
      </w:r>
      <w:r w:rsidRPr="0060762F">
        <w:lastRenderedPageBreak/>
        <w:t>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3278E8" w:rsidRPr="0060762F" w:rsidRDefault="003278E8" w:rsidP="003278E8">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w:t>
      </w:r>
      <w:r w:rsidRPr="0060762F">
        <w:lastRenderedPageBreak/>
        <w:t xml:space="preserve">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15"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lastRenderedPageBreak/>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3278E8" w:rsidRPr="0060762F" w:rsidRDefault="003278E8" w:rsidP="003278E8">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Pr="0060762F">
        <w:t>несет установленную законодательством Российской Федерации гражданско-правовую ответственность за:</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6. Осуществление контроля за выполнением Управляющейорганизацией ее обязательств по Договору управленияи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 xml:space="preserve">Управляющая организации обязана предоставлять по запросу собственника </w:t>
      </w:r>
      <w:r w:rsidRPr="0060762F">
        <w:rPr>
          <w:rFonts w:ascii="Times New Roman" w:hAnsi="Times New Roman" w:cs="Times New Roman"/>
          <w:sz w:val="24"/>
          <w:szCs w:val="24"/>
        </w:rPr>
        <w:lastRenderedPageBreak/>
        <w:t>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3278E8">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3278E8">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3278E8">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EC0342">
      <w:pPr>
        <w:widowControl w:val="0"/>
        <w:autoSpaceDE w:val="0"/>
        <w:autoSpaceDN w:val="0"/>
        <w:adjustRightInd w:val="0"/>
        <w:spacing w:after="0"/>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 xml:space="preserve">7.1. Изменение и расторжение настоящего Договора осуществляется в порядке, </w:t>
      </w:r>
      <w:r w:rsidRPr="0060762F">
        <w:lastRenderedPageBreak/>
        <w:t>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Default="003278E8" w:rsidP="00EC0342">
      <w:pPr>
        <w:widowControl w:val="0"/>
        <w:autoSpaceDE w:val="0"/>
        <w:autoSpaceDN w:val="0"/>
        <w:adjustRightInd w:val="0"/>
        <w:spacing w:after="0"/>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 xml:space="preserve">8.3. Сторона, оказавшаяся не в состоянии выполнить свои обязательства по Договору, </w:t>
      </w:r>
      <w:r w:rsidRPr="0060762F">
        <w:lastRenderedPageBreak/>
        <w:t>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EC0342">
      <w:pPr>
        <w:widowControl w:val="0"/>
        <w:autoSpaceDE w:val="0"/>
        <w:autoSpaceDN w:val="0"/>
        <w:adjustRightInd w:val="0"/>
        <w:spacing w:after="0"/>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t xml:space="preserve">9.1. Договор заключен на </w:t>
      </w:r>
      <w:r w:rsidR="006F6038">
        <w:t>3</w:t>
      </w:r>
      <w:r w:rsidRPr="0060762F">
        <w:t xml:space="preserve"> года и действует с «___» ___________20</w:t>
      </w:r>
      <w:r w:rsidR="005D7866">
        <w:t>2</w:t>
      </w:r>
      <w:r w:rsidR="00EA4C65">
        <w:t>2</w:t>
      </w:r>
      <w:r w:rsidRPr="0060762F">
        <w:t xml:space="preserve"> года по «____» ______________202</w:t>
      </w:r>
      <w:r w:rsidR="00EA4C65">
        <w:t>5</w:t>
      </w:r>
      <w:r w:rsidRPr="0060762F">
        <w:t>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EC0342">
      <w:pPr>
        <w:widowControl w:val="0"/>
        <w:autoSpaceDE w:val="0"/>
        <w:autoSpaceDN w:val="0"/>
        <w:adjustRightInd w:val="0"/>
        <w:spacing w:after="0"/>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hyperlink r:id="rId20"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 xml:space="preserve">Приложения:1) </w:t>
      </w:r>
      <w:r>
        <w:rPr>
          <w:bCs/>
        </w:rPr>
        <w:t>Приложение № 1</w:t>
      </w:r>
      <w:r w:rsidRPr="0060762F">
        <w:rPr>
          <w:bCs/>
        </w:rPr>
        <w:t xml:space="preserve"> – Акт о состоянии общего имущества собственников помещений в многоквартирном доме -  _______л.;</w:t>
      </w:r>
      <w:r w:rsidR="006F6038">
        <w:rPr>
          <w:bCs/>
        </w:rPr>
        <w:t xml:space="preserve"> (согласно приложениям №1</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дома</w:t>
      </w:r>
      <w:r w:rsidRPr="0060762F">
        <w:t>-  _______л.</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EC0342">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lastRenderedPageBreak/>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lastRenderedPageBreak/>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lastRenderedPageBreak/>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183003" w:rsidRDefault="00183003" w:rsidP="00767897">
      <w:pPr>
        <w:autoSpaceDE w:val="0"/>
        <w:spacing w:after="0"/>
        <w:contextualSpacing/>
        <w:jc w:val="right"/>
        <w:rPr>
          <w:b/>
        </w:rPr>
      </w:pPr>
    </w:p>
    <w:p w:rsidR="000613AC" w:rsidRDefault="0066082E" w:rsidP="00767897">
      <w:pPr>
        <w:autoSpaceDE w:val="0"/>
        <w:spacing w:after="0"/>
        <w:contextualSpacing/>
        <w:jc w:val="right"/>
        <w:rPr>
          <w:b/>
        </w:rPr>
      </w:pPr>
      <w:r>
        <w:rPr>
          <w:b/>
        </w:rPr>
        <w:t>Пр</w:t>
      </w:r>
      <w:r w:rsidR="000613AC" w:rsidRPr="00E957E6">
        <w:rPr>
          <w:b/>
        </w:rPr>
        <w:t>иложение № 3</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985"/>
        <w:gridCol w:w="1633"/>
        <w:gridCol w:w="149"/>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22"/>
        <w:gridCol w:w="8795"/>
        <w:gridCol w:w="150"/>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9767"/>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771"/>
        <w:gridCol w:w="3996"/>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1358"/>
        <w:gridCol w:w="8409"/>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rPr>
              <w:t>г.</w:t>
            </w:r>
          </w:p>
        </w:tc>
      </w:tr>
    </w:tbl>
    <w:p w:rsidR="000613AC" w:rsidRPr="00DE28BB" w:rsidRDefault="000613AC" w:rsidP="000613AC">
      <w:pPr>
        <w:spacing w:after="0"/>
        <w:rPr>
          <w:sz w:val="23"/>
          <w:szCs w:val="23"/>
        </w:rPr>
      </w:pPr>
    </w:p>
    <w:p w:rsidR="000613AC" w:rsidRPr="00DE28BB" w:rsidRDefault="000613AC" w:rsidP="000613AC">
      <w:pPr>
        <w:spacing w:after="0"/>
        <w:rPr>
          <w:sz w:val="23"/>
          <w:szCs w:val="23"/>
        </w:rPr>
      </w:pPr>
      <w:r w:rsidRPr="00DE28BB">
        <w:rPr>
          <w:sz w:val="23"/>
          <w:szCs w:val="23"/>
        </w:rPr>
        <w:t>М. П.</w:t>
      </w: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EC0342" w:rsidRDefault="00EC0342"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9562"/>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___________________________________________</w:t>
            </w:r>
          </w:p>
          <w:p w:rsidR="000613AC" w:rsidRPr="00BC3C5C" w:rsidRDefault="000613AC" w:rsidP="00A71AA0">
            <w:pPr>
              <w:spacing w:after="0"/>
            </w:pPr>
            <w:r w:rsidRPr="00BC3C5C">
              <w:t>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24"/>
        <w:gridCol w:w="8857"/>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tblPr>
      <w:tblGrid>
        <w:gridCol w:w="1415"/>
        <w:gridCol w:w="1371"/>
        <w:gridCol w:w="463"/>
        <w:gridCol w:w="231"/>
        <w:gridCol w:w="1508"/>
        <w:gridCol w:w="357"/>
        <w:gridCol w:w="462"/>
        <w:gridCol w:w="504"/>
        <w:gridCol w:w="3334"/>
        <w:gridCol w:w="136"/>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489"/>
        <w:gridCol w:w="128"/>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Приложение №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tblPr>
      <w:tblGrid>
        <w:gridCol w:w="2646"/>
        <w:gridCol w:w="6971"/>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lastRenderedPageBreak/>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Default="00655558" w:rsidP="000613AC">
      <w:pPr>
        <w:spacing w:after="0"/>
      </w:pPr>
    </w:p>
    <w:p w:rsidR="006F6038" w:rsidRDefault="006F6038" w:rsidP="000613AC">
      <w:pPr>
        <w:spacing w:after="0"/>
      </w:pPr>
    </w:p>
    <w:p w:rsidR="006F6038" w:rsidRPr="00E957E6" w:rsidRDefault="006F6038" w:rsidP="000613AC">
      <w:pPr>
        <w:spacing w:after="0"/>
      </w:pPr>
    </w:p>
    <w:p w:rsidR="000613AC" w:rsidRDefault="000613AC" w:rsidP="000613AC">
      <w:pPr>
        <w:autoSpaceDE w:val="0"/>
        <w:spacing w:after="0"/>
        <w:ind w:left="5670"/>
        <w:contextualSpacing/>
        <w:jc w:val="center"/>
        <w:rPr>
          <w:b/>
        </w:rPr>
      </w:pPr>
      <w:r>
        <w:rPr>
          <w:b/>
        </w:rPr>
        <w:t>Приложение №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1" w:name="OLE_LINK1"/>
      <w:r w:rsidRPr="00810AA4">
        <w:t>УТВЕРЖДАЮ</w:t>
      </w:r>
    </w:p>
    <w:tbl>
      <w:tblPr>
        <w:tblW w:w="5094" w:type="dxa"/>
        <w:tblInd w:w="4537" w:type="dxa"/>
        <w:tblCellMar>
          <w:left w:w="0" w:type="dxa"/>
          <w:right w:w="0" w:type="dxa"/>
        </w:tblCellMar>
        <w:tblLook w:val="01E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1"/>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tblPr>
      <w:tblGrid>
        <w:gridCol w:w="3136"/>
        <w:gridCol w:w="154"/>
        <w:gridCol w:w="3065"/>
        <w:gridCol w:w="3262"/>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lastRenderedPageBreak/>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lastRenderedPageBreak/>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tblPr>
      <w:tblGrid>
        <w:gridCol w:w="9617"/>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A813AA">
      <w:pgSz w:w="11906" w:h="16838"/>
      <w:pgMar w:top="851" w:right="849"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A8D" w:rsidRDefault="00E46A8D" w:rsidP="00A407D7">
      <w:pPr>
        <w:spacing w:after="0"/>
      </w:pPr>
      <w:r>
        <w:separator/>
      </w:r>
    </w:p>
  </w:endnote>
  <w:endnote w:type="continuationSeparator" w:id="1">
    <w:p w:rsidR="00E46A8D" w:rsidRDefault="00E46A8D" w:rsidP="00A40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A8D" w:rsidRDefault="00E46A8D" w:rsidP="00A407D7">
      <w:pPr>
        <w:spacing w:after="0"/>
      </w:pPr>
      <w:r>
        <w:separator/>
      </w:r>
    </w:p>
  </w:footnote>
  <w:footnote w:type="continuationSeparator" w:id="1">
    <w:p w:rsidR="00E46A8D" w:rsidRDefault="00E46A8D" w:rsidP="00A40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6">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D50716"/>
    <w:rsid w:val="000070E5"/>
    <w:rsid w:val="00016914"/>
    <w:rsid w:val="00017270"/>
    <w:rsid w:val="00017C4B"/>
    <w:rsid w:val="000265A2"/>
    <w:rsid w:val="0002707E"/>
    <w:rsid w:val="0003122A"/>
    <w:rsid w:val="00036FCF"/>
    <w:rsid w:val="00042E3C"/>
    <w:rsid w:val="0005112D"/>
    <w:rsid w:val="0005194F"/>
    <w:rsid w:val="000613AC"/>
    <w:rsid w:val="000625B8"/>
    <w:rsid w:val="00063237"/>
    <w:rsid w:val="000643D5"/>
    <w:rsid w:val="000727EC"/>
    <w:rsid w:val="00073BAC"/>
    <w:rsid w:val="000746E2"/>
    <w:rsid w:val="000771FD"/>
    <w:rsid w:val="0008143C"/>
    <w:rsid w:val="00081FD1"/>
    <w:rsid w:val="000863EC"/>
    <w:rsid w:val="00086C4B"/>
    <w:rsid w:val="000958E4"/>
    <w:rsid w:val="00096D11"/>
    <w:rsid w:val="000A0E30"/>
    <w:rsid w:val="000A1327"/>
    <w:rsid w:val="000A378F"/>
    <w:rsid w:val="000B1DF7"/>
    <w:rsid w:val="000C64A4"/>
    <w:rsid w:val="000D7130"/>
    <w:rsid w:val="000E44E2"/>
    <w:rsid w:val="000E59E0"/>
    <w:rsid w:val="000F016E"/>
    <w:rsid w:val="00104598"/>
    <w:rsid w:val="00104CF7"/>
    <w:rsid w:val="00126941"/>
    <w:rsid w:val="001355A3"/>
    <w:rsid w:val="00137503"/>
    <w:rsid w:val="00140896"/>
    <w:rsid w:val="0014565F"/>
    <w:rsid w:val="00155111"/>
    <w:rsid w:val="001672A7"/>
    <w:rsid w:val="00170C87"/>
    <w:rsid w:val="0017262F"/>
    <w:rsid w:val="00175A28"/>
    <w:rsid w:val="00183003"/>
    <w:rsid w:val="0019663D"/>
    <w:rsid w:val="00197148"/>
    <w:rsid w:val="00197BC7"/>
    <w:rsid w:val="001A28F0"/>
    <w:rsid w:val="001A5DAB"/>
    <w:rsid w:val="001B2924"/>
    <w:rsid w:val="001B4FA7"/>
    <w:rsid w:val="001C094D"/>
    <w:rsid w:val="001C62D3"/>
    <w:rsid w:val="001D2D7A"/>
    <w:rsid w:val="001D71C3"/>
    <w:rsid w:val="001E30F8"/>
    <w:rsid w:val="001F1B0A"/>
    <w:rsid w:val="001F78C4"/>
    <w:rsid w:val="00213CC3"/>
    <w:rsid w:val="0022173D"/>
    <w:rsid w:val="002268A9"/>
    <w:rsid w:val="0024328E"/>
    <w:rsid w:val="00255590"/>
    <w:rsid w:val="00256FAA"/>
    <w:rsid w:val="002709EF"/>
    <w:rsid w:val="00280E3C"/>
    <w:rsid w:val="002821AD"/>
    <w:rsid w:val="0028438E"/>
    <w:rsid w:val="00285D7D"/>
    <w:rsid w:val="00293447"/>
    <w:rsid w:val="002A302A"/>
    <w:rsid w:val="002A387D"/>
    <w:rsid w:val="002A584B"/>
    <w:rsid w:val="002B0D0A"/>
    <w:rsid w:val="002C6CFA"/>
    <w:rsid w:val="002D4F10"/>
    <w:rsid w:val="002D7FA8"/>
    <w:rsid w:val="002E4F47"/>
    <w:rsid w:val="002F2952"/>
    <w:rsid w:val="002F784E"/>
    <w:rsid w:val="00310225"/>
    <w:rsid w:val="00312E1B"/>
    <w:rsid w:val="003278E8"/>
    <w:rsid w:val="00341774"/>
    <w:rsid w:val="0035331F"/>
    <w:rsid w:val="00355DDE"/>
    <w:rsid w:val="00392354"/>
    <w:rsid w:val="00392F87"/>
    <w:rsid w:val="003A13D3"/>
    <w:rsid w:val="003A3407"/>
    <w:rsid w:val="003A3991"/>
    <w:rsid w:val="003A47C2"/>
    <w:rsid w:val="003A5BAC"/>
    <w:rsid w:val="003B185E"/>
    <w:rsid w:val="003C1BAA"/>
    <w:rsid w:val="003C7778"/>
    <w:rsid w:val="003D616E"/>
    <w:rsid w:val="003E10F8"/>
    <w:rsid w:val="003E2621"/>
    <w:rsid w:val="003E6B69"/>
    <w:rsid w:val="003F7BB8"/>
    <w:rsid w:val="004003C4"/>
    <w:rsid w:val="004059BD"/>
    <w:rsid w:val="00413601"/>
    <w:rsid w:val="0041546A"/>
    <w:rsid w:val="0042278A"/>
    <w:rsid w:val="004240AF"/>
    <w:rsid w:val="0042490F"/>
    <w:rsid w:val="00437EB5"/>
    <w:rsid w:val="0044423D"/>
    <w:rsid w:val="00456254"/>
    <w:rsid w:val="00460DF7"/>
    <w:rsid w:val="00461048"/>
    <w:rsid w:val="00462FA6"/>
    <w:rsid w:val="0046373D"/>
    <w:rsid w:val="00465333"/>
    <w:rsid w:val="0048169F"/>
    <w:rsid w:val="004943CF"/>
    <w:rsid w:val="004A080C"/>
    <w:rsid w:val="004B0642"/>
    <w:rsid w:val="004C1020"/>
    <w:rsid w:val="004C21E9"/>
    <w:rsid w:val="004D4AD7"/>
    <w:rsid w:val="004E1F0B"/>
    <w:rsid w:val="004E7C30"/>
    <w:rsid w:val="004F30C7"/>
    <w:rsid w:val="005003EE"/>
    <w:rsid w:val="00502E19"/>
    <w:rsid w:val="0050539B"/>
    <w:rsid w:val="0050669F"/>
    <w:rsid w:val="0051136F"/>
    <w:rsid w:val="00527454"/>
    <w:rsid w:val="0053149F"/>
    <w:rsid w:val="00536FD1"/>
    <w:rsid w:val="0053764F"/>
    <w:rsid w:val="00540F3C"/>
    <w:rsid w:val="005419A5"/>
    <w:rsid w:val="00544165"/>
    <w:rsid w:val="00551FB1"/>
    <w:rsid w:val="005579E9"/>
    <w:rsid w:val="00560543"/>
    <w:rsid w:val="00562EA1"/>
    <w:rsid w:val="005712CE"/>
    <w:rsid w:val="00572BB1"/>
    <w:rsid w:val="0059146C"/>
    <w:rsid w:val="005952D7"/>
    <w:rsid w:val="005A55DE"/>
    <w:rsid w:val="005C2CC4"/>
    <w:rsid w:val="005D44BD"/>
    <w:rsid w:val="005D5C36"/>
    <w:rsid w:val="005D670C"/>
    <w:rsid w:val="005D7866"/>
    <w:rsid w:val="005F3520"/>
    <w:rsid w:val="005F5381"/>
    <w:rsid w:val="0060059C"/>
    <w:rsid w:val="00602E65"/>
    <w:rsid w:val="00603D45"/>
    <w:rsid w:val="00606DEE"/>
    <w:rsid w:val="0060773A"/>
    <w:rsid w:val="006366DA"/>
    <w:rsid w:val="00641019"/>
    <w:rsid w:val="00641ADE"/>
    <w:rsid w:val="00655558"/>
    <w:rsid w:val="0065711D"/>
    <w:rsid w:val="0066082E"/>
    <w:rsid w:val="0066698D"/>
    <w:rsid w:val="00676802"/>
    <w:rsid w:val="00683839"/>
    <w:rsid w:val="00690FD9"/>
    <w:rsid w:val="00692B56"/>
    <w:rsid w:val="00692E55"/>
    <w:rsid w:val="006A29FC"/>
    <w:rsid w:val="006B0FF5"/>
    <w:rsid w:val="006B19A9"/>
    <w:rsid w:val="006B366E"/>
    <w:rsid w:val="006B7215"/>
    <w:rsid w:val="006C594C"/>
    <w:rsid w:val="006C603F"/>
    <w:rsid w:val="006C7A52"/>
    <w:rsid w:val="006D27A4"/>
    <w:rsid w:val="006D6384"/>
    <w:rsid w:val="006E3B45"/>
    <w:rsid w:val="006F4647"/>
    <w:rsid w:val="006F6038"/>
    <w:rsid w:val="00701DEA"/>
    <w:rsid w:val="00702BA7"/>
    <w:rsid w:val="0070582F"/>
    <w:rsid w:val="0073162D"/>
    <w:rsid w:val="007328E5"/>
    <w:rsid w:val="00736A4C"/>
    <w:rsid w:val="00742B5E"/>
    <w:rsid w:val="007525D6"/>
    <w:rsid w:val="007556C0"/>
    <w:rsid w:val="00755EF9"/>
    <w:rsid w:val="00767897"/>
    <w:rsid w:val="0078143A"/>
    <w:rsid w:val="00781584"/>
    <w:rsid w:val="007957A2"/>
    <w:rsid w:val="007A7F4C"/>
    <w:rsid w:val="007B385A"/>
    <w:rsid w:val="007C683E"/>
    <w:rsid w:val="00800369"/>
    <w:rsid w:val="00803F1A"/>
    <w:rsid w:val="00804DCF"/>
    <w:rsid w:val="00825CA1"/>
    <w:rsid w:val="00825DDA"/>
    <w:rsid w:val="00827A5B"/>
    <w:rsid w:val="00840633"/>
    <w:rsid w:val="008449CD"/>
    <w:rsid w:val="0085346B"/>
    <w:rsid w:val="0085378E"/>
    <w:rsid w:val="00862F4E"/>
    <w:rsid w:val="008651D8"/>
    <w:rsid w:val="00866D06"/>
    <w:rsid w:val="0087311E"/>
    <w:rsid w:val="00890F28"/>
    <w:rsid w:val="008A0223"/>
    <w:rsid w:val="008B3650"/>
    <w:rsid w:val="008B531B"/>
    <w:rsid w:val="008C1128"/>
    <w:rsid w:val="008C42A7"/>
    <w:rsid w:val="008E712A"/>
    <w:rsid w:val="00903FC9"/>
    <w:rsid w:val="00922107"/>
    <w:rsid w:val="0092318C"/>
    <w:rsid w:val="00924B1C"/>
    <w:rsid w:val="009332F4"/>
    <w:rsid w:val="0093405F"/>
    <w:rsid w:val="009401A1"/>
    <w:rsid w:val="00941F18"/>
    <w:rsid w:val="00947921"/>
    <w:rsid w:val="0095354C"/>
    <w:rsid w:val="00953F37"/>
    <w:rsid w:val="00954099"/>
    <w:rsid w:val="00956DF9"/>
    <w:rsid w:val="009613DE"/>
    <w:rsid w:val="00964041"/>
    <w:rsid w:val="00981AF6"/>
    <w:rsid w:val="0098740D"/>
    <w:rsid w:val="00995B2E"/>
    <w:rsid w:val="009A188D"/>
    <w:rsid w:val="009A58E9"/>
    <w:rsid w:val="009C3056"/>
    <w:rsid w:val="009C525C"/>
    <w:rsid w:val="009D7226"/>
    <w:rsid w:val="009E37A1"/>
    <w:rsid w:val="009F0483"/>
    <w:rsid w:val="00A12788"/>
    <w:rsid w:val="00A13100"/>
    <w:rsid w:val="00A3322F"/>
    <w:rsid w:val="00A407D7"/>
    <w:rsid w:val="00A41DF0"/>
    <w:rsid w:val="00A71AA0"/>
    <w:rsid w:val="00A73917"/>
    <w:rsid w:val="00A73E4E"/>
    <w:rsid w:val="00A813AA"/>
    <w:rsid w:val="00A839C6"/>
    <w:rsid w:val="00A9366E"/>
    <w:rsid w:val="00A97FC7"/>
    <w:rsid w:val="00AA1284"/>
    <w:rsid w:val="00AB72D6"/>
    <w:rsid w:val="00AC00AB"/>
    <w:rsid w:val="00AD701A"/>
    <w:rsid w:val="00AD79BA"/>
    <w:rsid w:val="00AE45DB"/>
    <w:rsid w:val="00AF6A8D"/>
    <w:rsid w:val="00B05FDD"/>
    <w:rsid w:val="00B06723"/>
    <w:rsid w:val="00B12C5E"/>
    <w:rsid w:val="00B15126"/>
    <w:rsid w:val="00B31998"/>
    <w:rsid w:val="00B33AB4"/>
    <w:rsid w:val="00B374C0"/>
    <w:rsid w:val="00B40FD0"/>
    <w:rsid w:val="00B43B25"/>
    <w:rsid w:val="00B442CB"/>
    <w:rsid w:val="00B54D6C"/>
    <w:rsid w:val="00B63F9C"/>
    <w:rsid w:val="00B6674F"/>
    <w:rsid w:val="00B7138C"/>
    <w:rsid w:val="00B9001E"/>
    <w:rsid w:val="00BA33E1"/>
    <w:rsid w:val="00BA4417"/>
    <w:rsid w:val="00BA66E7"/>
    <w:rsid w:val="00BC4745"/>
    <w:rsid w:val="00BC5E73"/>
    <w:rsid w:val="00BD1E35"/>
    <w:rsid w:val="00BD7235"/>
    <w:rsid w:val="00BE149E"/>
    <w:rsid w:val="00BF1708"/>
    <w:rsid w:val="00C02163"/>
    <w:rsid w:val="00C046DC"/>
    <w:rsid w:val="00C10715"/>
    <w:rsid w:val="00C22D7B"/>
    <w:rsid w:val="00C362AD"/>
    <w:rsid w:val="00C4203A"/>
    <w:rsid w:val="00C4398D"/>
    <w:rsid w:val="00C516FC"/>
    <w:rsid w:val="00C54FE5"/>
    <w:rsid w:val="00C704F4"/>
    <w:rsid w:val="00C72342"/>
    <w:rsid w:val="00C73686"/>
    <w:rsid w:val="00C771CE"/>
    <w:rsid w:val="00C90307"/>
    <w:rsid w:val="00C933B8"/>
    <w:rsid w:val="00C95222"/>
    <w:rsid w:val="00C96353"/>
    <w:rsid w:val="00C96568"/>
    <w:rsid w:val="00CA0E35"/>
    <w:rsid w:val="00CA161F"/>
    <w:rsid w:val="00CA4660"/>
    <w:rsid w:val="00CB79A3"/>
    <w:rsid w:val="00CC2419"/>
    <w:rsid w:val="00CC35AB"/>
    <w:rsid w:val="00CD3E24"/>
    <w:rsid w:val="00CD6F33"/>
    <w:rsid w:val="00CE14E5"/>
    <w:rsid w:val="00CE1FD7"/>
    <w:rsid w:val="00CE6772"/>
    <w:rsid w:val="00CF0720"/>
    <w:rsid w:val="00CF214B"/>
    <w:rsid w:val="00CF42A9"/>
    <w:rsid w:val="00CF55FF"/>
    <w:rsid w:val="00D03658"/>
    <w:rsid w:val="00D03ABD"/>
    <w:rsid w:val="00D07AFB"/>
    <w:rsid w:val="00D07C09"/>
    <w:rsid w:val="00D1498A"/>
    <w:rsid w:val="00D306CC"/>
    <w:rsid w:val="00D34D61"/>
    <w:rsid w:val="00D35471"/>
    <w:rsid w:val="00D36050"/>
    <w:rsid w:val="00D362C0"/>
    <w:rsid w:val="00D47AC2"/>
    <w:rsid w:val="00D50716"/>
    <w:rsid w:val="00D67231"/>
    <w:rsid w:val="00D712B6"/>
    <w:rsid w:val="00D84862"/>
    <w:rsid w:val="00D8607A"/>
    <w:rsid w:val="00D910AA"/>
    <w:rsid w:val="00DA113D"/>
    <w:rsid w:val="00DA1E23"/>
    <w:rsid w:val="00DB282E"/>
    <w:rsid w:val="00DB43B6"/>
    <w:rsid w:val="00DB54D6"/>
    <w:rsid w:val="00DC34DF"/>
    <w:rsid w:val="00DD1B9D"/>
    <w:rsid w:val="00DD4368"/>
    <w:rsid w:val="00DD6D77"/>
    <w:rsid w:val="00DD6D9B"/>
    <w:rsid w:val="00DE28BB"/>
    <w:rsid w:val="00DE6035"/>
    <w:rsid w:val="00DE7AD7"/>
    <w:rsid w:val="00DF4787"/>
    <w:rsid w:val="00DF7814"/>
    <w:rsid w:val="00E0254D"/>
    <w:rsid w:val="00E07371"/>
    <w:rsid w:val="00E178C5"/>
    <w:rsid w:val="00E250D6"/>
    <w:rsid w:val="00E31C75"/>
    <w:rsid w:val="00E33B60"/>
    <w:rsid w:val="00E46A8D"/>
    <w:rsid w:val="00E476BF"/>
    <w:rsid w:val="00E50A77"/>
    <w:rsid w:val="00E55DE4"/>
    <w:rsid w:val="00E80B7E"/>
    <w:rsid w:val="00E87B8C"/>
    <w:rsid w:val="00EA027B"/>
    <w:rsid w:val="00EA4536"/>
    <w:rsid w:val="00EA4C65"/>
    <w:rsid w:val="00EA75AD"/>
    <w:rsid w:val="00EB49FE"/>
    <w:rsid w:val="00EB5BB7"/>
    <w:rsid w:val="00EC0342"/>
    <w:rsid w:val="00EC65E5"/>
    <w:rsid w:val="00ED491A"/>
    <w:rsid w:val="00ED60F4"/>
    <w:rsid w:val="00ED7CE8"/>
    <w:rsid w:val="00EE0C7D"/>
    <w:rsid w:val="00EE60EC"/>
    <w:rsid w:val="00EF0119"/>
    <w:rsid w:val="00EF3AED"/>
    <w:rsid w:val="00F038D3"/>
    <w:rsid w:val="00F07547"/>
    <w:rsid w:val="00F119FA"/>
    <w:rsid w:val="00F169D0"/>
    <w:rsid w:val="00F20C9C"/>
    <w:rsid w:val="00F23232"/>
    <w:rsid w:val="00F24220"/>
    <w:rsid w:val="00F2782D"/>
    <w:rsid w:val="00F407C0"/>
    <w:rsid w:val="00F52576"/>
    <w:rsid w:val="00F55679"/>
    <w:rsid w:val="00F63E7E"/>
    <w:rsid w:val="00F647F2"/>
    <w:rsid w:val="00F73D79"/>
    <w:rsid w:val="00F75A49"/>
    <w:rsid w:val="00F85E73"/>
    <w:rsid w:val="00FA44F8"/>
    <w:rsid w:val="00FB18D2"/>
    <w:rsid w:val="00FB21C5"/>
    <w:rsid w:val="00FC47B7"/>
    <w:rsid w:val="00FE4100"/>
    <w:rsid w:val="00FE69CA"/>
    <w:rsid w:val="00FE775A"/>
    <w:rsid w:val="00FF6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webSettings.xml><?xml version="1.0" encoding="utf-8"?>
<w:webSettings xmlns:r="http://schemas.openxmlformats.org/officeDocument/2006/relationships" xmlns:w="http://schemas.openxmlformats.org/wordprocessingml/2006/main">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7782437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449927685">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PAP;n=30210;fld=134"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254;fld=134;dst=100021" TargetMode="External"/><Relationship Id="rId5" Type="http://schemas.openxmlformats.org/officeDocument/2006/relationships/webSettings" Target="webSettings.xml"/><Relationship Id="rId15" Type="http://schemas.openxmlformats.org/officeDocument/2006/relationships/hyperlink" Target="consultantplus://offline/main?base=PAP;n=30209;fld=134;dst=100051" TargetMode="External"/><Relationship Id="rId23" Type="http://schemas.microsoft.com/office/2007/relationships/stylesWithEffects" Target="stylesWithEffects.xml"/><Relationship Id="rId10" Type="http://schemas.openxmlformats.org/officeDocument/2006/relationships/hyperlink" Target="consultantplus://offline/main?base=LAW;n=117057;fld=134"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LAW;n=117057;fld=134;dst=1009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A8D3-B4AC-45C7-9AB4-43F0459D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2022-03-10T07:38:00Z</cp:lastPrinted>
  <dcterms:created xsi:type="dcterms:W3CDTF">2022-03-11T07:44:00Z</dcterms:created>
  <dcterms:modified xsi:type="dcterms:W3CDTF">2022-03-11T07:46:00Z</dcterms:modified>
</cp:coreProperties>
</file>