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20" w:type="dxa"/>
        <w:tblInd w:w="93" w:type="dxa"/>
        <w:tblLook w:val="04A0" w:firstRow="1" w:lastRow="0" w:firstColumn="1" w:lastColumn="0" w:noHBand="0" w:noVBand="1"/>
      </w:tblPr>
      <w:tblGrid>
        <w:gridCol w:w="8400"/>
        <w:gridCol w:w="1780"/>
        <w:gridCol w:w="1380"/>
        <w:gridCol w:w="1083"/>
        <w:gridCol w:w="1480"/>
      </w:tblGrid>
      <w:tr w:rsidR="00392292" w:rsidRPr="00392292" w:rsidTr="00392292">
        <w:trPr>
          <w:trHeight w:val="1429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9229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</w:t>
            </w: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№5                                                                                           к  решению Таежнинского сельского Совета депутатов</w:t>
            </w: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             от 12.09.2019 №15                                                                                "О бюджете Таежнинского сельсовета на 2019 год                                      и плановый период 2019-20120 годов" </w:t>
            </w:r>
          </w:p>
        </w:tc>
      </w:tr>
      <w:tr w:rsidR="00392292" w:rsidRPr="00392292" w:rsidTr="00392292">
        <w:trPr>
          <w:trHeight w:val="649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8</w:t>
            </w:r>
          </w:p>
        </w:tc>
      </w:tr>
      <w:tr w:rsidR="00392292" w:rsidRPr="00392292" w:rsidTr="00392292">
        <w:trPr>
          <w:trHeight w:val="25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Таежнинского сельского Совета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депутов</w:t>
            </w:r>
            <w:proofErr w:type="spellEnd"/>
          </w:p>
        </w:tc>
      </w:tr>
      <w:tr w:rsidR="00392292" w:rsidRPr="00392292" w:rsidTr="00392292">
        <w:trPr>
          <w:trHeight w:val="25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25.12.2018 г. № 54</w:t>
            </w:r>
          </w:p>
        </w:tc>
      </w:tr>
      <w:tr w:rsidR="00392292" w:rsidRPr="00392292" w:rsidTr="00392292">
        <w:trPr>
          <w:trHeight w:val="480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Таежнинского сельсовета на 2019 год                                  и плановый период 2020-2021 годы"</w:t>
            </w:r>
          </w:p>
        </w:tc>
      </w:tr>
      <w:tr w:rsidR="00392292" w:rsidRPr="00392292" w:rsidTr="00392292">
        <w:trPr>
          <w:trHeight w:val="300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2292" w:rsidRPr="00392292" w:rsidTr="00392292">
        <w:trPr>
          <w:trHeight w:val="870"/>
        </w:trPr>
        <w:tc>
          <w:tcPr>
            <w:tcW w:w="12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2019 год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</w:tr>
      <w:tr w:rsidR="00392292" w:rsidRPr="00392292" w:rsidTr="00392292">
        <w:trPr>
          <w:trHeight w:val="76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         2019год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392292" w:rsidRPr="00392292" w:rsidTr="00392292">
        <w:trPr>
          <w:trHeight w:val="570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4100000000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9 277 895,19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4110000000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3 659 588,14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95 100,00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2 517 115,87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241 545,87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241 545,87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241 545,87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Благоустройство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241 545,87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411008Э020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2 275 570,00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411008Э020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2 275 570,00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411008Э020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2 275 570,00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Благоустройство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411008Э020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2 275 570,00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838 072,27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754 072,27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754 072,27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754 072,27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Благоустройство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754 072,27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411008Ф030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411008Ф030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411008Ф030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411008Ф030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15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Софинансирование за счет средств местного бюджета на формирование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411F255550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8 205,27</w:t>
            </w:r>
          </w:p>
        </w:tc>
      </w:tr>
      <w:tr w:rsidR="00392292" w:rsidRPr="00392292" w:rsidTr="00392292">
        <w:trPr>
          <w:trHeight w:val="15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Средства на софинансирование муниципальных программ формирования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411F255550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410 263,53</w:t>
            </w:r>
          </w:p>
        </w:tc>
      </w:tr>
      <w:tr w:rsidR="00392292" w:rsidRPr="00392292" w:rsidTr="00392292">
        <w:trPr>
          <w:trHeight w:val="12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за счет спонсорских средств, средств добровольных пожертвований,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4110083000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97 376,09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Благоустройство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392292" w:rsidRPr="00392292" w:rsidTr="00392292">
        <w:trPr>
          <w:trHeight w:val="9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ОБРАЗОВАНИЕ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41100Ч0050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149 300,00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392292" w:rsidRPr="00392292" w:rsidTr="00392292">
        <w:trPr>
          <w:trHeight w:val="5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392292" w:rsidRPr="00392292" w:rsidTr="00392292">
        <w:trPr>
          <w:trHeight w:val="3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392292" w:rsidRPr="00392292" w:rsidTr="00392292">
        <w:trPr>
          <w:trHeight w:val="3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41100Ж0040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60 000,00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376 162,13</w:t>
            </w:r>
          </w:p>
        </w:tc>
      </w:tr>
      <w:tr w:rsidR="00392292" w:rsidRPr="00392292" w:rsidTr="00392292">
        <w:trPr>
          <w:trHeight w:val="6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БЕЗОПАСНОСТЬ И ПРАВООХРАНИЕЛЬНАЯ ДЕЯТЕЛЬНОСТЬ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Обеспечение пожарной безопасности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114 120,13</w:t>
            </w:r>
          </w:p>
        </w:tc>
      </w:tr>
      <w:tr w:rsidR="00392292" w:rsidRPr="00392292" w:rsidTr="00392292">
        <w:trPr>
          <w:trHeight w:val="12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4120074120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249 564,00</w:t>
            </w:r>
          </w:p>
        </w:tc>
      </w:tr>
      <w:tr w:rsidR="00392292" w:rsidRPr="00392292" w:rsidTr="00392292">
        <w:trPr>
          <w:trHeight w:val="12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Софинансирование за счет средств местного бюджета по обеспечению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41200S4120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12 478,00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"Жилищно-коммунальное хозяйство"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998 761,78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987 303,78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670 211,78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670 211,78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670 211,78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670 211,78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413008Ф010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27 155,00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413008Ф010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27 155,00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413008Ф010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27 155,00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413008Ф010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27 155,00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392292" w:rsidRPr="00392292" w:rsidTr="00392292">
        <w:trPr>
          <w:trHeight w:val="37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11 458,00</w:t>
            </w:r>
          </w:p>
        </w:tc>
      </w:tr>
      <w:tr w:rsidR="00392292" w:rsidRPr="00392292" w:rsidTr="00392292">
        <w:trPr>
          <w:trHeight w:val="12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4130080030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289 937,00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3 787 783,14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392292" w:rsidRPr="00392292" w:rsidTr="00392292">
        <w:trPr>
          <w:trHeight w:val="3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716 293,41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1 946 683,00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1 628 953,00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1 628 953,00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1 628 953,00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1 628 953,00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414008Ф020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317 730,00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414008Ф020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317 730,00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414008Ф020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317 730,00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414008Ф020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317 730,00</w:t>
            </w:r>
          </w:p>
        </w:tc>
      </w:tr>
      <w:tr w:rsidR="00392292" w:rsidRPr="00392292" w:rsidTr="00392292">
        <w:trPr>
          <w:trHeight w:val="15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Расходы на содержание автомобильных дорог общего пользования местного значения городских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округов</w:t>
            </w: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,г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ородских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4140075080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1 090 000,00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4140075090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5 165 500,00</w:t>
            </w:r>
          </w:p>
        </w:tc>
      </w:tr>
      <w:tr w:rsidR="00392292" w:rsidRPr="00392292" w:rsidTr="00392292">
        <w:trPr>
          <w:trHeight w:val="15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Долевое софинансирование за счет средств местного бюджета на содержание автомобильных дорог общего пользования местного значения городских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округов</w:t>
            </w: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,г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ородских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и сельских поселений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41400S5080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13 080,00</w:t>
            </w:r>
          </w:p>
        </w:tc>
      </w:tr>
      <w:tr w:rsidR="00392292" w:rsidRPr="00392292" w:rsidTr="00392292">
        <w:trPr>
          <w:trHeight w:val="15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Софинансирование за счет средств местного бюджета расходов на капитальный ремонт и ремонт автомобильных дорог общего пользования местного значения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41400S5090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63 142,59</w:t>
            </w:r>
          </w:p>
        </w:tc>
      </w:tr>
      <w:tr w:rsidR="00392292" w:rsidRPr="00392292" w:rsidTr="00392292">
        <w:trPr>
          <w:trHeight w:val="15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Софинансирование за счет средств местного бюджета на формирование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411F255550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21 726,73</w:t>
            </w:r>
          </w:p>
        </w:tc>
      </w:tr>
      <w:tr w:rsidR="00392292" w:rsidRPr="00392292" w:rsidTr="00392292">
        <w:trPr>
          <w:trHeight w:val="15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Средства на софинансирование муниципальных программ формирования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414F255550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1 086 336,47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455 600,00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ОБРАЗОВАНИЕ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24 000,00</w:t>
            </w:r>
          </w:p>
        </w:tc>
      </w:tr>
      <w:tr w:rsidR="00392292" w:rsidRPr="00392292" w:rsidTr="00392292">
        <w:trPr>
          <w:trHeight w:val="9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Оказание материальной помощи  </w:t>
            </w: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гражданам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392292" w:rsidRPr="00392292" w:rsidTr="00392292">
        <w:trPr>
          <w:trHeight w:val="3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СОЦИАЛЬНАЯ ПОЛИТИКА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4150080020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30 000,00</w:t>
            </w:r>
          </w:p>
        </w:tc>
      </w:tr>
      <w:tr w:rsidR="00392292" w:rsidRPr="00392292" w:rsidTr="00392292">
        <w:trPr>
          <w:trHeight w:val="9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КУЛЬТУРА, КИНЕМАТОГРАФИЯ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Культура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351 600,00</w:t>
            </w:r>
          </w:p>
        </w:tc>
      </w:tr>
      <w:tr w:rsidR="00392292" w:rsidRPr="00392292" w:rsidTr="00392292">
        <w:trPr>
          <w:trHeight w:val="9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Массовый спорт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4150080050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50 000,00</w:t>
            </w:r>
          </w:p>
        </w:tc>
      </w:tr>
      <w:tr w:rsidR="00392292" w:rsidRPr="00392292" w:rsidTr="00392292">
        <w:trPr>
          <w:trHeight w:val="63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Програмное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5000000000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5 000,00</w:t>
            </w:r>
          </w:p>
        </w:tc>
      </w:tr>
      <w:tr w:rsidR="00392292" w:rsidRPr="00392292" w:rsidTr="00392292">
        <w:trPr>
          <w:trHeight w:val="12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392292" w:rsidRPr="00392292" w:rsidTr="00392292">
        <w:trPr>
          <w:trHeight w:val="52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5090080010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 xml:space="preserve">Не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пограмные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8000000000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color w:val="FF0000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color w:val="FF0000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8 859 984,89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392292" w:rsidRPr="00392292" w:rsidTr="00392292">
        <w:trPr>
          <w:trHeight w:val="99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392292" w:rsidRPr="00392292" w:rsidTr="00392292">
        <w:trPr>
          <w:trHeight w:val="8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982 292,50</w:t>
            </w:r>
          </w:p>
        </w:tc>
      </w:tr>
      <w:tr w:rsidR="00392292" w:rsidRPr="00392292" w:rsidTr="00392292">
        <w:trPr>
          <w:trHeight w:val="8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392292" w:rsidRPr="00392292" w:rsidTr="00392292">
        <w:trPr>
          <w:trHeight w:val="8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8010067000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0,00</w:t>
            </w:r>
          </w:p>
        </w:tc>
      </w:tr>
      <w:tr w:rsidR="00392292" w:rsidRPr="00392292" w:rsidTr="00392292">
        <w:trPr>
          <w:trHeight w:val="5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Обеспечение деятельности местной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администраци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в рамках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непрограмных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7 365 272,39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4 194 921,10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4 194 921,10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4 194 921,10</w:t>
            </w:r>
          </w:p>
        </w:tc>
      </w:tr>
      <w:tr w:rsidR="00392292" w:rsidRPr="00392292" w:rsidTr="00392292">
        <w:trPr>
          <w:trHeight w:val="93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4 194 921,10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1 401 675,59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1 401 675,59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1 401 675,59</w:t>
            </w:r>
          </w:p>
        </w:tc>
      </w:tr>
      <w:tr w:rsidR="00392292" w:rsidRPr="00392292" w:rsidTr="00392292">
        <w:trPr>
          <w:trHeight w:val="97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1 401 675,59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29 000,00</w:t>
            </w:r>
          </w:p>
        </w:tc>
      </w:tr>
      <w:tr w:rsidR="00392292" w:rsidRPr="00392292" w:rsidTr="00392292">
        <w:trPr>
          <w:trHeight w:val="9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29 000,00</w:t>
            </w:r>
          </w:p>
        </w:tc>
      </w:tr>
      <w:tr w:rsidR="00392292" w:rsidRPr="00392292" w:rsidTr="00392292">
        <w:trPr>
          <w:trHeight w:val="97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460 221,90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460 221,90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460 221,90</w:t>
            </w:r>
          </w:p>
        </w:tc>
      </w:tr>
      <w:tr w:rsidR="00392292" w:rsidRPr="00392292" w:rsidTr="00392292">
        <w:trPr>
          <w:trHeight w:val="8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8020061000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460 221,90</w:t>
            </w:r>
          </w:p>
        </w:tc>
      </w:tr>
      <w:tr w:rsidR="00392292" w:rsidRPr="00392292" w:rsidTr="00392292">
        <w:trPr>
          <w:trHeight w:val="105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174 000,00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8020067000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174 000,00</w:t>
            </w:r>
          </w:p>
        </w:tc>
      </w:tr>
      <w:tr w:rsidR="00392292" w:rsidRPr="00392292" w:rsidTr="00392292">
        <w:trPr>
          <w:trHeight w:val="9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714 413,80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714 413,80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714 413,80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802006Б000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714 413,80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802006Г000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206 066,00</w:t>
            </w:r>
          </w:p>
        </w:tc>
      </w:tr>
      <w:tr w:rsidR="00392292" w:rsidRPr="00392292" w:rsidTr="00392292">
        <w:trPr>
          <w:trHeight w:val="63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802006Г000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206 066,00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802006Г000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206 066,00</w:t>
            </w:r>
          </w:p>
        </w:tc>
      </w:tr>
      <w:tr w:rsidR="00392292" w:rsidRPr="00392292" w:rsidTr="00392292">
        <w:trPr>
          <w:trHeight w:val="88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802006Г000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206 066,00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802006Ф000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40 000,00</w:t>
            </w:r>
          </w:p>
        </w:tc>
      </w:tr>
      <w:tr w:rsidR="00392292" w:rsidRPr="00392292" w:rsidTr="00392292">
        <w:trPr>
          <w:trHeight w:val="63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802006Ф000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802006Ф000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802006Ф000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802006Э000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144 974,00</w:t>
            </w:r>
          </w:p>
        </w:tc>
      </w:tr>
      <w:tr w:rsidR="00392292" w:rsidRPr="00392292" w:rsidTr="00392292">
        <w:trPr>
          <w:trHeight w:val="6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802006Э000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144 974,00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802006Э000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144 974,00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802006Э000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144 974,00</w:t>
            </w:r>
          </w:p>
        </w:tc>
      </w:tr>
      <w:tr w:rsidR="00392292" w:rsidRPr="00392292" w:rsidTr="00392292">
        <w:trPr>
          <w:trHeight w:val="70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коммисариаты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 счет субвенций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371 320,00</w:t>
            </w:r>
          </w:p>
        </w:tc>
      </w:tr>
      <w:tr w:rsidR="00392292" w:rsidRPr="00392292" w:rsidTr="00392292">
        <w:trPr>
          <w:trHeight w:val="102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333 537,04</w:t>
            </w:r>
          </w:p>
        </w:tc>
      </w:tr>
      <w:tr w:rsidR="00392292" w:rsidRPr="00392292" w:rsidTr="00392292">
        <w:trPr>
          <w:trHeight w:val="3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333 537,04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ОБОРОНА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333 537,04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Мобилизационная и военная подготовка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333 537,04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37 782,96</w:t>
            </w:r>
          </w:p>
        </w:tc>
      </w:tr>
      <w:tr w:rsidR="00392292" w:rsidRPr="00392292" w:rsidTr="00392292">
        <w:trPr>
          <w:trHeight w:val="6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37 782,96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НАЦИОНАЛЬНАЯ ОБОРОНА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37 782,96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Мобилизационная и военная подготовка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8020051180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37 782,96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33 100,00</w:t>
            </w:r>
          </w:p>
        </w:tc>
      </w:tr>
      <w:tr w:rsidR="00392292" w:rsidRPr="00392292" w:rsidTr="00392292">
        <w:trPr>
          <w:trHeight w:val="9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25 675,00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25 675,00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25 675,00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25 675,00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7 425,00</w:t>
            </w:r>
          </w:p>
        </w:tc>
      </w:tr>
      <w:tr w:rsidR="00392292" w:rsidRPr="00392292" w:rsidTr="00392292">
        <w:trPr>
          <w:trHeight w:val="5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7 425,00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7 425,00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8020075140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7 425,00</w:t>
            </w:r>
          </w:p>
        </w:tc>
      </w:tr>
      <w:tr w:rsidR="00392292" w:rsidRPr="00392292" w:rsidTr="00392292">
        <w:trPr>
          <w:trHeight w:val="6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Обеспеспечение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деятельности депутата представительного органа муниципального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108 000,00</w:t>
            </w:r>
          </w:p>
        </w:tc>
      </w:tr>
      <w:tr w:rsidR="00392292" w:rsidRPr="00392292" w:rsidTr="00392292">
        <w:trPr>
          <w:trHeight w:val="102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392292" w:rsidRPr="00392292" w:rsidTr="00392292">
        <w:trPr>
          <w:trHeight w:val="6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8030060000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108 000,00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 w:val="22"/>
                <w:lang w:eastAsia="ru-RU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9000000000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278 731,57</w:t>
            </w:r>
          </w:p>
        </w:tc>
      </w:tr>
      <w:tr w:rsidR="00392292" w:rsidRPr="00392292" w:rsidTr="00392292">
        <w:trPr>
          <w:trHeight w:val="6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Резервные фонды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9010080000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20 000,00</w:t>
            </w:r>
          </w:p>
        </w:tc>
      </w:tr>
      <w:tr w:rsidR="00392292" w:rsidRPr="00392292" w:rsidTr="00392292">
        <w:trPr>
          <w:trHeight w:val="58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5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СОЦИАЛЬНАЯ ПОЛИТИКА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84 000,00</w:t>
            </w:r>
          </w:p>
        </w:tc>
      </w:tr>
      <w:tr w:rsidR="00392292" w:rsidRPr="00392292" w:rsidTr="00392292">
        <w:trPr>
          <w:trHeight w:val="6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Организация и проведение 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аккарицидных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46 716,91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11 362,50</w:t>
            </w:r>
          </w:p>
        </w:tc>
      </w:tr>
      <w:tr w:rsidR="00392292" w:rsidRPr="00392292" w:rsidTr="00392292">
        <w:trPr>
          <w:trHeight w:val="3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Иные закупки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11 362,50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ЗДРАВООХРАНЕНИЕ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11 362,50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9090075550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11 362,50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392292" w:rsidRPr="00392292" w:rsidTr="00392292">
        <w:trPr>
          <w:trHeight w:val="60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ЗДРАВООХРАНЕНИЕ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90900S5550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2 357,33</w:t>
            </w:r>
          </w:p>
        </w:tc>
      </w:tr>
      <w:tr w:rsidR="00392292" w:rsidRPr="00392292" w:rsidTr="00392292">
        <w:trPr>
          <w:trHeight w:val="3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ЗДРАВООХРАНЕНИЕ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9090080000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32 997,08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9090000000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115 875,00</w:t>
            </w:r>
          </w:p>
        </w:tc>
      </w:tr>
      <w:tr w:rsidR="00392292" w:rsidRPr="00392292" w:rsidTr="00392292">
        <w:trPr>
          <w:trHeight w:val="88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Межбюджетные </w:t>
            </w: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трансферты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осуществление внутреннего финансового контроля полномочий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90900Ч0070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1 617,00</w:t>
            </w:r>
          </w:p>
        </w:tc>
      </w:tr>
      <w:tr w:rsidR="00392292" w:rsidRPr="00392292" w:rsidTr="00392292">
        <w:trPr>
          <w:trHeight w:val="37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90900Ч0070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1 617,00</w:t>
            </w:r>
          </w:p>
        </w:tc>
      </w:tr>
      <w:tr w:rsidR="00392292" w:rsidRPr="00392292" w:rsidTr="00392292">
        <w:trPr>
          <w:trHeight w:val="40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90900Ч0070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1 617,00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90900Ч0070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1 617,00</w:t>
            </w:r>
          </w:p>
        </w:tc>
      </w:tr>
      <w:tr w:rsidR="00392292" w:rsidRPr="00392292" w:rsidTr="00392292">
        <w:trPr>
          <w:trHeight w:val="94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90900Ч0070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1 617,00</w:t>
            </w:r>
          </w:p>
        </w:tc>
      </w:tr>
      <w:tr w:rsidR="00392292" w:rsidRPr="00392292" w:rsidTr="00392292">
        <w:trPr>
          <w:trHeight w:val="60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теплосетевых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теплосетевыми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114 258,00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114 258,00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Прочие 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114 258,00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114 258,00</w:t>
            </w:r>
          </w:p>
        </w:tc>
      </w:tr>
      <w:tr w:rsidR="00392292" w:rsidRPr="00392292" w:rsidTr="00392292">
        <w:trPr>
          <w:trHeight w:val="87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Функцианирование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114 258,00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Возмещение специализированным службам по вопросам похоронного дела </w:t>
            </w:r>
            <w:proofErr w:type="spell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стоимиости</w:t>
            </w:r>
            <w:proofErr w:type="spell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услуг на погребение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392292" w:rsidRPr="00392292" w:rsidTr="00392292">
        <w:trPr>
          <w:trHeight w:val="315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proofErr w:type="gramStart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Прочая</w:t>
            </w:r>
            <w:proofErr w:type="gramEnd"/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90900Ш0000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12 139,66</w:t>
            </w:r>
          </w:p>
        </w:tc>
      </w:tr>
      <w:tr w:rsidR="00392292" w:rsidRPr="00392292" w:rsidTr="00392292">
        <w:trPr>
          <w:trHeight w:val="672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lastRenderedPageBreak/>
              <w:t>Прочие безвозмездные перечисления в бюджет муниципального района от бюджетов сельских поселений в рамках непрограммных расходов органов местного самоуправления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90900ч0100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29 932,00</w:t>
            </w:r>
          </w:p>
        </w:tc>
      </w:tr>
      <w:tr w:rsidR="00392292" w:rsidRPr="00392292" w:rsidTr="00392292">
        <w:trPr>
          <w:trHeight w:val="360"/>
        </w:trPr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92" w:rsidRPr="00392292" w:rsidRDefault="00392292" w:rsidP="00392292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 w:val="22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92" w:rsidRPr="00392292" w:rsidRDefault="00392292" w:rsidP="0039229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25282</w:t>
            </w:r>
            <w:r w:rsidRPr="003922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367,60</w:t>
            </w:r>
          </w:p>
        </w:tc>
      </w:tr>
    </w:tbl>
    <w:p w:rsidR="00061975" w:rsidRDefault="00061975">
      <w:bookmarkStart w:id="0" w:name="_GoBack"/>
      <w:bookmarkEnd w:id="0"/>
    </w:p>
    <w:sectPr w:rsidR="00061975" w:rsidSect="00392292">
      <w:pgSz w:w="16837" w:h="11905" w:orient="landscape"/>
      <w:pgMar w:top="1135" w:right="851" w:bottom="709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60"/>
    <w:rsid w:val="00061975"/>
    <w:rsid w:val="00070760"/>
    <w:rsid w:val="00237931"/>
    <w:rsid w:val="00392292"/>
    <w:rsid w:val="00634863"/>
    <w:rsid w:val="006875D0"/>
    <w:rsid w:val="006A63B9"/>
    <w:rsid w:val="00780667"/>
    <w:rsid w:val="00784CD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22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2292"/>
    <w:rPr>
      <w:color w:val="800080"/>
      <w:u w:val="single"/>
    </w:rPr>
  </w:style>
  <w:style w:type="paragraph" w:customStyle="1" w:styleId="font5">
    <w:name w:val="font5"/>
    <w:basedOn w:val="a"/>
    <w:rsid w:val="00392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8">
    <w:name w:val="xl68"/>
    <w:basedOn w:val="a"/>
    <w:rsid w:val="00392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9">
    <w:name w:val="xl69"/>
    <w:basedOn w:val="a"/>
    <w:rsid w:val="003922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0">
    <w:name w:val="xl70"/>
    <w:basedOn w:val="a"/>
    <w:rsid w:val="003922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2">
    <w:name w:val="xl72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392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5">
    <w:name w:val="xl75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6">
    <w:name w:val="xl76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7">
    <w:name w:val="xl77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3922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9">
    <w:name w:val="xl79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0">
    <w:name w:val="xl80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1">
    <w:name w:val="xl81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2">
    <w:name w:val="xl82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3">
    <w:name w:val="xl83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4">
    <w:name w:val="xl84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5">
    <w:name w:val="xl85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Cs w:val="24"/>
      <w:lang w:eastAsia="ru-RU"/>
    </w:rPr>
  </w:style>
  <w:style w:type="paragraph" w:customStyle="1" w:styleId="xl86">
    <w:name w:val="xl86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7">
    <w:name w:val="xl87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8">
    <w:name w:val="xl88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9">
    <w:name w:val="xl89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90">
    <w:name w:val="xl90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91">
    <w:name w:val="xl91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paragraph" w:customStyle="1" w:styleId="xl92">
    <w:name w:val="xl92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3">
    <w:name w:val="xl93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4">
    <w:name w:val="xl94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5">
    <w:name w:val="xl95"/>
    <w:basedOn w:val="a"/>
    <w:rsid w:val="003922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6">
    <w:name w:val="xl96"/>
    <w:basedOn w:val="a"/>
    <w:rsid w:val="0039229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7">
    <w:name w:val="xl97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22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2292"/>
    <w:rPr>
      <w:color w:val="800080"/>
      <w:u w:val="single"/>
    </w:rPr>
  </w:style>
  <w:style w:type="paragraph" w:customStyle="1" w:styleId="font5">
    <w:name w:val="font5"/>
    <w:basedOn w:val="a"/>
    <w:rsid w:val="00392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8">
    <w:name w:val="xl68"/>
    <w:basedOn w:val="a"/>
    <w:rsid w:val="00392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69">
    <w:name w:val="xl69"/>
    <w:basedOn w:val="a"/>
    <w:rsid w:val="003922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0">
    <w:name w:val="xl70"/>
    <w:basedOn w:val="a"/>
    <w:rsid w:val="003922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1">
    <w:name w:val="xl71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2">
    <w:name w:val="xl72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3">
    <w:name w:val="xl73"/>
    <w:basedOn w:val="a"/>
    <w:rsid w:val="00392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5">
    <w:name w:val="xl75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6">
    <w:name w:val="xl76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77">
    <w:name w:val="xl77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3922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79">
    <w:name w:val="xl79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0">
    <w:name w:val="xl80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1">
    <w:name w:val="xl81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2">
    <w:name w:val="xl82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3">
    <w:name w:val="xl83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4">
    <w:name w:val="xl84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85">
    <w:name w:val="xl85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Cs w:val="24"/>
      <w:lang w:eastAsia="ru-RU"/>
    </w:rPr>
  </w:style>
  <w:style w:type="paragraph" w:customStyle="1" w:styleId="xl86">
    <w:name w:val="xl86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2"/>
      <w:lang w:eastAsia="ru-RU"/>
    </w:rPr>
  </w:style>
  <w:style w:type="paragraph" w:customStyle="1" w:styleId="xl87">
    <w:name w:val="xl87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8">
    <w:name w:val="xl88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9">
    <w:name w:val="xl89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xl90">
    <w:name w:val="xl90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xl91">
    <w:name w:val="xl91"/>
    <w:basedOn w:val="a"/>
    <w:rsid w:val="00392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paragraph" w:customStyle="1" w:styleId="xl92">
    <w:name w:val="xl92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3">
    <w:name w:val="xl93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4">
    <w:name w:val="xl94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5">
    <w:name w:val="xl95"/>
    <w:basedOn w:val="a"/>
    <w:rsid w:val="0039229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96">
    <w:name w:val="xl96"/>
    <w:basedOn w:val="a"/>
    <w:rsid w:val="0039229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paragraph" w:customStyle="1" w:styleId="xl97">
    <w:name w:val="xl97"/>
    <w:basedOn w:val="a"/>
    <w:rsid w:val="003922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4215</Words>
  <Characters>24031</Characters>
  <Application>Microsoft Office Word</Application>
  <DocSecurity>0</DocSecurity>
  <Lines>200</Lines>
  <Paragraphs>56</Paragraphs>
  <ScaleCrop>false</ScaleCrop>
  <Company/>
  <LinksUpToDate>false</LinksUpToDate>
  <CharactersWithSpaces>28190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2019-09-16T02:42:00Z</dcterms:created>
  <dcterms:modified xsi:type="dcterms:W3CDTF">2019-09-16T02:44:00Z</dcterms:modified>
</cp:coreProperties>
</file>