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60" w:type="dxa"/>
        <w:tblInd w:w="93" w:type="dxa"/>
        <w:tblLook w:val="04A0" w:firstRow="1" w:lastRow="0" w:firstColumn="1" w:lastColumn="0" w:noHBand="0" w:noVBand="1"/>
      </w:tblPr>
      <w:tblGrid>
        <w:gridCol w:w="7921"/>
        <w:gridCol w:w="1262"/>
        <w:gridCol w:w="1257"/>
        <w:gridCol w:w="1539"/>
        <w:gridCol w:w="1145"/>
        <w:gridCol w:w="1476"/>
      </w:tblGrid>
      <w:tr w:rsidR="00800509" w:rsidRPr="00800509" w:rsidTr="00800509">
        <w:trPr>
          <w:trHeight w:val="1632"/>
        </w:trPr>
        <w:tc>
          <w:tcPr>
            <w:tcW w:w="7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005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Приложение №4                                                                         к  решению Таежнинского сельского Совета депутатов</w:t>
            </w:r>
            <w:r w:rsidRPr="0080050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от 12.09.2019 №15                                                                             "О бюджете Таежнинского сельсовета на 2019 год                 и плановый период 2019-20120 годов"       </w:t>
            </w:r>
          </w:p>
        </w:tc>
      </w:tr>
      <w:tr w:rsidR="00800509" w:rsidRPr="00800509" w:rsidTr="00800509">
        <w:trPr>
          <w:trHeight w:val="780"/>
        </w:trPr>
        <w:tc>
          <w:tcPr>
            <w:tcW w:w="7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Приложение № 6</w:t>
            </w:r>
          </w:p>
        </w:tc>
      </w:tr>
      <w:tr w:rsidR="00800509" w:rsidRPr="00800509" w:rsidTr="00800509">
        <w:trPr>
          <w:trHeight w:val="300"/>
        </w:trPr>
        <w:tc>
          <w:tcPr>
            <w:tcW w:w="7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к  Решению Таежнинского сельского Совета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депутов</w:t>
            </w:r>
            <w:proofErr w:type="spellEnd"/>
          </w:p>
        </w:tc>
      </w:tr>
      <w:tr w:rsidR="00800509" w:rsidRPr="00800509" w:rsidTr="00800509">
        <w:trPr>
          <w:trHeight w:val="300"/>
        </w:trPr>
        <w:tc>
          <w:tcPr>
            <w:tcW w:w="7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от 25.12.2018 г. № 54</w:t>
            </w:r>
          </w:p>
        </w:tc>
      </w:tr>
      <w:tr w:rsidR="00800509" w:rsidRPr="00800509" w:rsidTr="00800509">
        <w:trPr>
          <w:trHeight w:val="675"/>
        </w:trPr>
        <w:tc>
          <w:tcPr>
            <w:tcW w:w="7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5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"О бюджете Таежнинского сельсовета на 2019год                        и плановый период 2020-2021 годов"</w:t>
            </w:r>
          </w:p>
        </w:tc>
      </w:tr>
      <w:tr w:rsidR="00800509" w:rsidRPr="00800509" w:rsidTr="00800509">
        <w:trPr>
          <w:trHeight w:val="300"/>
        </w:trPr>
        <w:tc>
          <w:tcPr>
            <w:tcW w:w="7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00509" w:rsidRPr="00800509" w:rsidTr="00800509">
        <w:trPr>
          <w:trHeight w:val="315"/>
        </w:trPr>
        <w:tc>
          <w:tcPr>
            <w:tcW w:w="14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Ведомственная структура расходов Таежнинского сельсовета на 2019 год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800509" w:rsidRPr="00800509" w:rsidTr="00800509">
        <w:trPr>
          <w:trHeight w:val="94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0" w:name="_GoBack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 ведомства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Раздел, подраздел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Целевая статья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Вид расходов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 на          2019 год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982 292,50</w:t>
            </w:r>
          </w:p>
        </w:tc>
      </w:tr>
      <w:tr w:rsidR="00800509" w:rsidRPr="00800509" w:rsidTr="00800509">
        <w:trPr>
          <w:trHeight w:val="94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СУБЪЕКТВ РОССИЙСКОЙ ФЕДЕРАЦИИ, МЕСТНЫХ АДМИНИСТРАЦИЙ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</w:tr>
      <w:tr w:rsidR="00800509" w:rsidRPr="00800509" w:rsidTr="00800509">
        <w:trPr>
          <w:trHeight w:val="33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</w:tr>
      <w:tr w:rsidR="00800509" w:rsidRPr="00800509" w:rsidTr="00800509">
        <w:trPr>
          <w:trHeight w:val="97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</w:tr>
      <w:tr w:rsidR="00800509" w:rsidRPr="00800509" w:rsidTr="00800509">
        <w:trPr>
          <w:trHeight w:val="39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735 048,00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Иные выплаты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персонолу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государственных (муниципальных) органов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,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 исключением фонда оплаты труда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25 260,00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221 984,50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108 000,00</w:t>
            </w:r>
          </w:p>
        </w:tc>
      </w:tr>
      <w:tr w:rsidR="00800509" w:rsidRPr="00800509" w:rsidTr="00800509">
        <w:trPr>
          <w:trHeight w:val="97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Обеспеспечение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деятельности депутата представительного органа муниципального образования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выплаты за исключением фонда оплаты труда  государственных (муниципальных) органов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,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лицам, привлекаемым согласно законодательству  для выполнения отдельных полномочий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7 365 272,39</w:t>
            </w:r>
          </w:p>
        </w:tc>
      </w:tr>
      <w:tr w:rsidR="00800509" w:rsidRPr="00800509" w:rsidTr="00800509">
        <w:trPr>
          <w:trHeight w:val="12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ФУНКЦИОНИРОВАНИЕ ПРАВИТЕЛЬСТВА РОССИЙСКОЙ ФЕДЕРАЦИИ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,В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7 365 272,39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Обеспечение деятельности местной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администраци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 рамках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непрограмных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расходов органов местного самоуправления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7 365 272,39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4 194 921,10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4 194 921,10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3 195 966,24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Иные выплаты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персонолу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государственных (муниципальных) органов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,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 исключение фонда оплаты труда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33 773,00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965 181,86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1 401 675,59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1 401 675,59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1 401 675,59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бюджетные ассигнования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Уплата 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прочиз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налогов и сборов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Уплата иных платежей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28 000,00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8020061000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460 221,90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8020061000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460 221,90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8020061000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348 569,58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8020061000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111 652,32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8020067000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8020067000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Иные выплаты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персонолу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государственных (муниципальных) органов, за исключение фонда оплаты труда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8020067000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174 000,00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802006Б000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714 413,80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802006Б000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714 413,80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802006Б000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548 704,94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802006Б000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165 708,86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802006Г000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206 066,00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802006Г000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206 066,00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802006Г000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206 066,00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802006Ф000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802006Ф000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802006Ф000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802006Э000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144 974,00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802006Э000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144 974,00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802006Э000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144 974,00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115 875,00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115 875,00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Межбюджетные трансферты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115 875,00</w:t>
            </w:r>
          </w:p>
        </w:tc>
      </w:tr>
      <w:tr w:rsidR="00800509" w:rsidRPr="00800509" w:rsidTr="00800509">
        <w:trPr>
          <w:trHeight w:val="127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Межбюджетные трансферты от органов местного самоуправления поселений, входящих в состав муниципального образования Богучанского района на осуществление внутреннего финансового контроля в рамках непрограммных расходов органов местного самоуправления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90900Ч0070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1 617,00</w:t>
            </w:r>
          </w:p>
        </w:tc>
      </w:tr>
      <w:tr w:rsidR="00800509" w:rsidRPr="00800509" w:rsidTr="00800509">
        <w:trPr>
          <w:trHeight w:val="654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теплосетевых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теплосетевыми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114 258,00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20 000,00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РЕЗЕРВНЫЕ ФОНДЫ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бюджетные ассигнования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Резервные средства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33 100,00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33 100,00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33 100,00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25 675,00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25 675,00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19 719,66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5 955,34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7 425,00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7 425,00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7 425,00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ОБОРОНА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371 320,00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371 320,00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коммисариаты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371 320,00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333 537,04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333 537,04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260 658,00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72 879,04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37 782,96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37 782,96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37 782,96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12 139,66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Коммунальное хозяйство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800509" w:rsidRPr="00800509" w:rsidTr="00800509">
        <w:trPr>
          <w:trHeight w:val="75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 xml:space="preserve">Возмещение специализированным службам по вопросам похоронного дела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стоимиости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услуг на погребение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90900Ш0000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90900Ш0000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90900Ш0000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Здравоохранение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46 716,91</w:t>
            </w:r>
          </w:p>
        </w:tc>
      </w:tr>
      <w:tr w:rsidR="00800509" w:rsidRPr="00800509" w:rsidTr="00800509">
        <w:trPr>
          <w:trHeight w:val="42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46 716,91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Организация и проведение 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аккарицидных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9090075550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46 716,91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9090075550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11 362,50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9090075550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11 362,50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9090075550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11 362,50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Долевое софинансирование расходов на организацию и проведение 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аккарицидных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90900S5550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2 357,33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90900S5550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2 357,33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90900S5550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2 357,33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90900S5550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2 357,33</w:t>
            </w:r>
          </w:p>
        </w:tc>
      </w:tr>
      <w:tr w:rsidR="00800509" w:rsidRPr="00800509" w:rsidTr="00800509">
        <w:trPr>
          <w:trHeight w:val="69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возмещение расходов на организацию и проведение 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аккарицидных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32 997,08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32 997,08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32 997,08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32 997,08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СОЦИАЛЬНАЯ ПОЛИТИКА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Пенсионное обеспечение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пенсии, социальные доплаты к пенсии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Програмные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обеспечение 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Програмное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обеспечение программы "Улучшение качества жизни населения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15 592 874,25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538DD5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538DD5"/>
                <w:szCs w:val="24"/>
                <w:lang w:eastAsia="ru-RU"/>
              </w:rPr>
              <w:t>3 659 588,14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Благоустройство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2 517 115,87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241 545,87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241 545,87</w:t>
            </w:r>
          </w:p>
        </w:tc>
      </w:tr>
      <w:tr w:rsidR="00800509" w:rsidRPr="00800509" w:rsidTr="00800509">
        <w:trPr>
          <w:trHeight w:val="63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241 545,87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411008Э020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2 275 570,00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411008Э020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2 275 570,00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411008Э020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2 275 570,00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Прочее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благоустройствов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рамках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подпрограммы "Благоустройство территории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838 072,27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754 072,27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754 072,27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754 072,27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411008Ф030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411008Ф030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411008Ф030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800509" w:rsidRPr="00800509" w:rsidTr="00800509">
        <w:trPr>
          <w:trHeight w:val="189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Софинансирование за счет средств местного бюджета на формирование современной городской среды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414F255550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8 205,27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414F255550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8 205,27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411F255550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410 263,53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4110083000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97 376,09</w:t>
            </w:r>
          </w:p>
        </w:tc>
      </w:tr>
      <w:tr w:rsidR="00800509" w:rsidRPr="00800509" w:rsidTr="00800509">
        <w:trPr>
          <w:trHeight w:val="36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ОБРАЗОВАНИЕ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800509" w:rsidRPr="00800509" w:rsidTr="00800509">
        <w:trPr>
          <w:trHeight w:val="12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Межбюджетные трансферты на реализацию мероприятий по трудовому воспитанию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несовершеннолетник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 рамках муниципальной программы "Молодежь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Приангарья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" в рамках подпрограммы "Благоустройство территории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41100Ч0050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41100Ч0050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41100Ч0050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Фонд оплаты труда учреждений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41100Ч0050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114 669,74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Взносы по обязательному социальному страхованию и выплаты по оплате труда работникам и иные выплаты работникам учреждений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41100Ч0050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119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34 630,26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ЭКОНОМИКА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41100Ж0040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800509" w:rsidRPr="00800509" w:rsidTr="00800509">
        <w:trPr>
          <w:trHeight w:val="36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41100Ж0040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800509" w:rsidRPr="00800509" w:rsidTr="00800509">
        <w:trPr>
          <w:trHeight w:val="58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41100Ж0040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41100Ж0040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376 162,13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376 162,13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ОБЕСПЕЧЕНИЕ ПОЖАРНОЙ БЕЗОПАСНОСТИ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376 162,13</w:t>
            </w:r>
          </w:p>
        </w:tc>
      </w:tr>
      <w:tr w:rsidR="00800509" w:rsidRPr="00800509" w:rsidTr="00800509">
        <w:trPr>
          <w:trHeight w:val="6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114 120,13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114 120,13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114 120,13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114 120,13</w:t>
            </w:r>
          </w:p>
        </w:tc>
      </w:tr>
      <w:tr w:rsidR="00800509" w:rsidRPr="00800509" w:rsidTr="00800509">
        <w:trPr>
          <w:trHeight w:val="1249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4120074120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249 564,00</w:t>
            </w:r>
          </w:p>
        </w:tc>
      </w:tr>
      <w:tr w:rsidR="00800509" w:rsidRPr="00800509" w:rsidTr="00800509">
        <w:trPr>
          <w:trHeight w:val="698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4120074120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249 564,00</w:t>
            </w:r>
          </w:p>
        </w:tc>
      </w:tr>
      <w:tr w:rsidR="00800509" w:rsidRPr="00800509" w:rsidTr="00800509">
        <w:trPr>
          <w:trHeight w:val="156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Софинансирование за счет средств местного бюджета по обеспечению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41200S4120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12 478,00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41200S4120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12 478,00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ПП "Жилищно-коммунальное хозяйство"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998 761,78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987 303,78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ЖИЛИЩНОЕ ХОЗЯЙСТВО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987 303,78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697 366,78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670 211,78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670 211,78</w:t>
            </w:r>
          </w:p>
        </w:tc>
      </w:tr>
      <w:tr w:rsidR="00800509" w:rsidRPr="00800509" w:rsidTr="00800509">
        <w:trPr>
          <w:trHeight w:val="64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670 211,78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800509" w:rsidRPr="00800509" w:rsidTr="00800509">
        <w:trPr>
          <w:trHeight w:val="37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413008Ф010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27 155,00</w:t>
            </w:r>
          </w:p>
        </w:tc>
      </w:tr>
      <w:tr w:rsidR="00800509" w:rsidRPr="00800509" w:rsidTr="00800509">
        <w:trPr>
          <w:trHeight w:val="64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413008Ф010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27 155,00</w:t>
            </w:r>
          </w:p>
        </w:tc>
      </w:tr>
      <w:tr w:rsidR="00800509" w:rsidRPr="00800509" w:rsidTr="00800509">
        <w:trPr>
          <w:trHeight w:val="63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413008Ф010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27 155,00</w:t>
            </w:r>
          </w:p>
        </w:tc>
      </w:tr>
      <w:tr w:rsidR="00800509" w:rsidRPr="00800509" w:rsidTr="00800509">
        <w:trPr>
          <w:trHeight w:val="12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289 937,00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289 937,00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289 937,00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289 937,00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800509" w:rsidRPr="00800509" w:rsidTr="00800509">
        <w:trPr>
          <w:trHeight w:val="37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11 458,00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ПП "Развитие транспортной системы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10 102 762,20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ЭКОНОМИКА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10 102 762,20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10 102 762,20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716 293,41</w:t>
            </w:r>
          </w:p>
        </w:tc>
      </w:tr>
      <w:tr w:rsidR="00800509" w:rsidRPr="00800509" w:rsidTr="00800509">
        <w:trPr>
          <w:trHeight w:val="3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716 293,41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716 293,41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716 293,41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1 946 683,00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1 628 953,00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1 628 953,00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1 628 953,00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414008Ф020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317 730,00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414008Ф020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317 730,00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414008Ф020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317 730,00</w:t>
            </w:r>
          </w:p>
        </w:tc>
      </w:tr>
      <w:tr w:rsidR="00800509" w:rsidRPr="00800509" w:rsidTr="00800509">
        <w:trPr>
          <w:trHeight w:val="189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Расходы на содержание автомобильных дорог общего пользования местного значения городских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округов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,г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ородских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4140075080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4140075080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4140075090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5 165 500,00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41400S090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63 142,59</w:t>
            </w:r>
          </w:p>
        </w:tc>
      </w:tr>
      <w:tr w:rsidR="00800509" w:rsidRPr="00800509" w:rsidTr="00800509">
        <w:trPr>
          <w:trHeight w:val="189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Долевое софинансирование за счет средств местного бюджета на содержание автомобильных дорог общего пользования местного значения городских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округов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,г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ородских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сельских поселений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41400S080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13 080,00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41400S080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13 080,00</w:t>
            </w:r>
          </w:p>
        </w:tc>
      </w:tr>
      <w:tr w:rsidR="00800509" w:rsidRPr="00800509" w:rsidTr="00800509">
        <w:trPr>
          <w:trHeight w:val="157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Софинансирование за счет средств местного бюджета на формирование современной городской среды в рамках подпрограммы "Развитие транспортной 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414F255550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21 726,73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414F255550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21 726,73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414F255550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1 086 336,47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4150000000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455 600,00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ОБРАЗОВАНИЕ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24 000,00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800509" w:rsidRPr="00800509" w:rsidTr="00800509">
        <w:trPr>
          <w:trHeight w:val="97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4150080010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КУЛЬТУРА КИНОМОТОГРАФИЯ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Культура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4150080030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4150080030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4150080030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4150080030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СОЦИАЛЬНАЯ ПОЛИТИКА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30 000,00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Оказание материальной помощи  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гражданам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4150080020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800509" w:rsidRPr="00800509" w:rsidTr="00800509">
        <w:trPr>
          <w:trHeight w:val="42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4150080020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Социальные выплаты гражданам, кроме  публичных нормативных социальных выплат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4150080020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320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Пособия, компенсации и иные социальные выплаты гражданам, кроме  </w:t>
            </w:r>
            <w:proofErr w:type="gram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публичных</w:t>
            </w:r>
            <w:proofErr w:type="gramEnd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нормативных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обязательсв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4150080020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321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ФИЗИЧЕСКАЯ КУЛЬТУРА И СПОРТ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50 000,00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МАССОВЫЙ СПОРТ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800509" w:rsidRPr="00800509" w:rsidTr="00800509">
        <w:trPr>
          <w:trHeight w:val="9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800509" w:rsidRPr="00800509" w:rsidTr="00800509">
        <w:trPr>
          <w:trHeight w:val="600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4150080050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29 932,00</w:t>
            </w:r>
          </w:p>
        </w:tc>
      </w:tr>
      <w:tr w:rsidR="00800509" w:rsidRPr="00800509" w:rsidTr="00800509">
        <w:trPr>
          <w:trHeight w:val="94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Прочие безвозмездные перечисления в бюджет муниципального района от бюджетов сельских поселений в рамках </w:t>
            </w:r>
            <w:proofErr w:type="spellStart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непрограмных</w:t>
            </w:r>
            <w:proofErr w:type="spellEnd"/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расходов органов местного самоуправления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90900ч0100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509" w:rsidRPr="00800509" w:rsidRDefault="00800509" w:rsidP="0080050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29 932,00</w:t>
            </w:r>
          </w:p>
        </w:tc>
      </w:tr>
      <w:tr w:rsidR="00800509" w:rsidRPr="00800509" w:rsidTr="00800509">
        <w:trPr>
          <w:trHeight w:val="315"/>
        </w:trPr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403151"/>
                <w:sz w:val="22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b/>
                <w:bCs/>
                <w:color w:val="403151"/>
                <w:sz w:val="22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0509" w:rsidRPr="00800509" w:rsidRDefault="00800509" w:rsidP="00800509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25282</w:t>
            </w:r>
            <w:r w:rsidRPr="008005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367,60</w:t>
            </w:r>
          </w:p>
        </w:tc>
      </w:tr>
      <w:bookmarkEnd w:id="0"/>
    </w:tbl>
    <w:p w:rsidR="00061975" w:rsidRDefault="00061975"/>
    <w:sectPr w:rsidR="00061975" w:rsidSect="00800509">
      <w:pgSz w:w="16837" w:h="11905" w:orient="landscape"/>
      <w:pgMar w:top="1135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15"/>
    <w:rsid w:val="00061975"/>
    <w:rsid w:val="00237931"/>
    <w:rsid w:val="00634863"/>
    <w:rsid w:val="006875D0"/>
    <w:rsid w:val="006A63B9"/>
    <w:rsid w:val="00780667"/>
    <w:rsid w:val="00784CDB"/>
    <w:rsid w:val="00800509"/>
    <w:rsid w:val="009B1C15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05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0509"/>
    <w:rPr>
      <w:color w:val="800080"/>
      <w:u w:val="single"/>
    </w:rPr>
  </w:style>
  <w:style w:type="paragraph" w:customStyle="1" w:styleId="xl67">
    <w:name w:val="xl67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8">
    <w:name w:val="xl6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9">
    <w:name w:val="xl69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0">
    <w:name w:val="xl70"/>
    <w:basedOn w:val="a"/>
    <w:rsid w:val="008005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1">
    <w:name w:val="xl71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8005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5">
    <w:name w:val="xl75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7">
    <w:name w:val="xl77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03151"/>
      <w:sz w:val="22"/>
      <w:lang w:eastAsia="ru-RU"/>
    </w:rPr>
  </w:style>
  <w:style w:type="paragraph" w:customStyle="1" w:styleId="xl79">
    <w:name w:val="xl79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0">
    <w:name w:val="xl80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1">
    <w:name w:val="xl81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2">
    <w:name w:val="xl82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83">
    <w:name w:val="xl83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4">
    <w:name w:val="xl84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5">
    <w:name w:val="xl85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86">
    <w:name w:val="xl86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7">
    <w:name w:val="xl87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8">
    <w:name w:val="xl8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89">
    <w:name w:val="xl89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90">
    <w:name w:val="xl90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91">
    <w:name w:val="xl91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92">
    <w:name w:val="xl92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93">
    <w:name w:val="xl93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94">
    <w:name w:val="xl94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Cs w:val="24"/>
      <w:lang w:eastAsia="ru-RU"/>
    </w:rPr>
  </w:style>
  <w:style w:type="paragraph" w:customStyle="1" w:styleId="xl95">
    <w:name w:val="xl95"/>
    <w:basedOn w:val="a"/>
    <w:rsid w:val="008005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96">
    <w:name w:val="xl96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7">
    <w:name w:val="xl97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8">
    <w:name w:val="xl9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99">
    <w:name w:val="xl99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0">
    <w:name w:val="xl100"/>
    <w:basedOn w:val="a"/>
    <w:rsid w:val="008005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1">
    <w:name w:val="xl101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2">
    <w:name w:val="xl102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103">
    <w:name w:val="xl103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4">
    <w:name w:val="xl104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5">
    <w:name w:val="xl105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6">
    <w:name w:val="xl106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7">
    <w:name w:val="xl107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8">
    <w:name w:val="xl10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9">
    <w:name w:val="xl109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0">
    <w:name w:val="xl110"/>
    <w:basedOn w:val="a"/>
    <w:rsid w:val="008005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1">
    <w:name w:val="xl111"/>
    <w:basedOn w:val="a"/>
    <w:rsid w:val="008005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2">
    <w:name w:val="xl112"/>
    <w:basedOn w:val="a"/>
    <w:rsid w:val="008005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3">
    <w:name w:val="xl113"/>
    <w:basedOn w:val="a"/>
    <w:rsid w:val="0080050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4">
    <w:name w:val="xl114"/>
    <w:basedOn w:val="a"/>
    <w:rsid w:val="008005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05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0509"/>
    <w:rPr>
      <w:color w:val="800080"/>
      <w:u w:val="single"/>
    </w:rPr>
  </w:style>
  <w:style w:type="paragraph" w:customStyle="1" w:styleId="xl67">
    <w:name w:val="xl67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8">
    <w:name w:val="xl6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9">
    <w:name w:val="xl69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0">
    <w:name w:val="xl70"/>
    <w:basedOn w:val="a"/>
    <w:rsid w:val="008005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1">
    <w:name w:val="xl71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2">
    <w:name w:val="xl72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80050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5">
    <w:name w:val="xl75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7">
    <w:name w:val="xl77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03151"/>
      <w:sz w:val="22"/>
      <w:lang w:eastAsia="ru-RU"/>
    </w:rPr>
  </w:style>
  <w:style w:type="paragraph" w:customStyle="1" w:styleId="xl79">
    <w:name w:val="xl79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0">
    <w:name w:val="xl80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1">
    <w:name w:val="xl81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2">
    <w:name w:val="xl82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83">
    <w:name w:val="xl83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4">
    <w:name w:val="xl84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5">
    <w:name w:val="xl85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86">
    <w:name w:val="xl86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7">
    <w:name w:val="xl87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8">
    <w:name w:val="xl8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89">
    <w:name w:val="xl89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90">
    <w:name w:val="xl90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91">
    <w:name w:val="xl91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92">
    <w:name w:val="xl92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93">
    <w:name w:val="xl93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94">
    <w:name w:val="xl94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38DD5"/>
      <w:szCs w:val="24"/>
      <w:lang w:eastAsia="ru-RU"/>
    </w:rPr>
  </w:style>
  <w:style w:type="paragraph" w:customStyle="1" w:styleId="xl95">
    <w:name w:val="xl95"/>
    <w:basedOn w:val="a"/>
    <w:rsid w:val="008005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96">
    <w:name w:val="xl96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7">
    <w:name w:val="xl97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8">
    <w:name w:val="xl9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99">
    <w:name w:val="xl99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0">
    <w:name w:val="xl100"/>
    <w:basedOn w:val="a"/>
    <w:rsid w:val="0080050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1">
    <w:name w:val="xl101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2">
    <w:name w:val="xl102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103">
    <w:name w:val="xl103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4">
    <w:name w:val="xl104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5">
    <w:name w:val="xl105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6">
    <w:name w:val="xl106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7">
    <w:name w:val="xl107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8">
    <w:name w:val="xl108"/>
    <w:basedOn w:val="a"/>
    <w:rsid w:val="008005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09">
    <w:name w:val="xl109"/>
    <w:basedOn w:val="a"/>
    <w:rsid w:val="00800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0">
    <w:name w:val="xl110"/>
    <w:basedOn w:val="a"/>
    <w:rsid w:val="008005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1">
    <w:name w:val="xl111"/>
    <w:basedOn w:val="a"/>
    <w:rsid w:val="008005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112">
    <w:name w:val="xl112"/>
    <w:basedOn w:val="a"/>
    <w:rsid w:val="008005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3">
    <w:name w:val="xl113"/>
    <w:basedOn w:val="a"/>
    <w:rsid w:val="0080050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4">
    <w:name w:val="xl114"/>
    <w:basedOn w:val="a"/>
    <w:rsid w:val="0080050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6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4301</Words>
  <Characters>24520</Characters>
  <Application>Microsoft Office Word</Application>
  <DocSecurity>0</DocSecurity>
  <Lines>204</Lines>
  <Paragraphs>57</Paragraphs>
  <ScaleCrop>false</ScaleCrop>
  <Company/>
  <LinksUpToDate>false</LinksUpToDate>
  <CharactersWithSpaces>28764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2019-09-16T02:35:00Z</dcterms:created>
  <dcterms:modified xsi:type="dcterms:W3CDTF">2019-09-16T02:38:00Z</dcterms:modified>
</cp:coreProperties>
</file>