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5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1"/>
        <w:gridCol w:w="4274"/>
        <w:gridCol w:w="821"/>
        <w:gridCol w:w="209"/>
        <w:gridCol w:w="80"/>
        <w:gridCol w:w="563"/>
        <w:gridCol w:w="156"/>
        <w:gridCol w:w="700"/>
        <w:gridCol w:w="561"/>
        <w:gridCol w:w="151"/>
        <w:gridCol w:w="446"/>
        <w:gridCol w:w="693"/>
        <w:gridCol w:w="1700"/>
        <w:gridCol w:w="284"/>
        <w:gridCol w:w="1417"/>
        <w:gridCol w:w="6"/>
        <w:gridCol w:w="136"/>
        <w:gridCol w:w="1983"/>
        <w:gridCol w:w="424"/>
      </w:tblGrid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027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Приложение №4                                                                       </w:t>
            </w:r>
          </w:p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  <w:p w:rsid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от 04.12.2019 №32                                                                    </w:t>
            </w:r>
          </w:p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 и плановый период 2020-2021 годов"       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92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8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  </w:t>
            </w:r>
          </w:p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Приложение № 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0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8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к  Решению Таежнинского 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сельского</w:t>
            </w:r>
            <w:proofErr w:type="gramEnd"/>
          </w:p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 Совета депутатов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0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87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от 25.12.2018 г. № 54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25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377" w:type="dxa"/>
            <w:gridSpan w:val="10"/>
            <w:tcBorders>
              <w:top w:val="nil"/>
              <w:left w:val="nil"/>
              <w:bottom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2019год  и плановый период 2020-2021 годов"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0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2A60CC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828"/>
        </w:trPr>
        <w:tc>
          <w:tcPr>
            <w:tcW w:w="14180" w:type="dxa"/>
            <w:gridSpan w:val="17"/>
            <w:tcBorders>
              <w:top w:val="nil"/>
              <w:left w:val="nil"/>
              <w:right w:val="nil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462DB">
              <w:rPr>
                <w:rFonts w:ascii="Arial" w:hAnsi="Arial" w:cs="Arial"/>
                <w:b/>
                <w:bCs/>
                <w:color w:val="000000"/>
                <w:szCs w:val="24"/>
              </w:rPr>
              <w:t>Ведомственная структура расходов Таежнинского сельсовета на 2019 год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9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Код ведомства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Сумма на          2019 год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970 874,50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9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СУБЪЕКТВ РОССИЙСКОЙ ФЕДЕРАЦИИ, МЕСТНЫХ АДМИНИСТРАЦИЙ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0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612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4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742 300,00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выплаты персонала государственных (муниципальных) органов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 исключением фонда оплаты труда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4 400,00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224 174,50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612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Обес</w:t>
            </w:r>
            <w:r w:rsidRPr="00A462DB">
              <w:rPr>
                <w:rFonts w:ascii="Arial" w:hAnsi="Arial" w:cs="Arial"/>
                <w:color w:val="000000"/>
                <w:szCs w:val="24"/>
              </w:rPr>
              <w:t>печение деятельности депутата представительного органа муниципального образования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8030000000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лицам,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привлекаемым согласно законодательству  для выполнения отдельных полномочий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7 529 005,39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75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,В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>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7 529 005,39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Обеспечение деятельности местной администрации в рамках непрограммных расходов органов местного самоуправления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7 529 005,39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3 226 733,24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 исключение фонда оплаты труда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36 557,00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974 472,86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1 265 451,79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Уплата  проч</w:t>
            </w:r>
            <w:r w:rsidR="002A60CC">
              <w:rPr>
                <w:rFonts w:ascii="Arial" w:hAnsi="Arial" w:cs="Arial"/>
                <w:color w:val="000000"/>
                <w:szCs w:val="24"/>
              </w:rPr>
              <w:t>их</w:t>
            </w:r>
            <w:bookmarkStart w:id="0" w:name="_GoBack"/>
            <w:bookmarkEnd w:id="0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налогов и сборов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852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Уплата иных платежей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853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108 033,00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353 473,02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106 748,88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554 695,72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167 518,08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115 875,00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115 875,00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115 875,00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804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самоуправления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121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A462DB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A462DB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20 000,00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33 100,00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19 719,66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5 955,34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371 320,00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Непрограммные расходы обеспечения первичного воинского учета на территориях где отсутствуют военные комиссариаты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339 376,72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339 376,72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(муниципальных) органов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260 658,00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78 718,72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31 943,28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31 943,28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31 943,28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73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Возмещение специализированным службам по вопросам похоронного дела стоимости услуг на погребение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46 716,91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64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46 716,91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46 716,91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Долевое софинансирование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34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возмещение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Иные пенсии, социальные доплаты к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пенсии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312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62DB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Программное</w:t>
            </w:r>
            <w:r w:rsidR="00A462DB" w:rsidRPr="00A462DB">
              <w:rPr>
                <w:rFonts w:ascii="Arial" w:hAnsi="Arial" w:cs="Arial"/>
                <w:color w:val="000000"/>
                <w:szCs w:val="24"/>
              </w:rPr>
              <w:t xml:space="preserve">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Программное</w:t>
            </w:r>
            <w:r w:rsidR="00A462DB" w:rsidRPr="00A462DB">
              <w:rPr>
                <w:rFonts w:ascii="Arial" w:hAnsi="Arial" w:cs="Arial"/>
                <w:color w:val="000000"/>
                <w:szCs w:val="24"/>
              </w:rPr>
              <w:t xml:space="preserve"> обеспечение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4100000000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15 578 969,54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333399"/>
                <w:szCs w:val="24"/>
              </w:rPr>
            </w:pPr>
            <w:r w:rsidRPr="00A462DB">
              <w:rPr>
                <w:rFonts w:ascii="Arial" w:hAnsi="Arial" w:cs="Arial"/>
                <w:color w:val="333399"/>
                <w:szCs w:val="24"/>
              </w:rPr>
              <w:t>3 548 436,53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Уличное освещение в рамках подпрограммы "Благоустройство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2 816 795,26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Прочее благоустройство 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рамках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подпрограммы "Благоустройство 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474 095,27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190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на формирование современной городской среды в рамках подпрограммы "Благоустройство территории муниципального образования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414F255550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25 214,83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12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414F2Д55550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25 214,83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411F255550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440 630,06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4110083000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50 000,00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2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75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реализацию мероприятий по трудовому воспитанию несовершеннолетние в рамках муниципальной программы "Молодежь </w:t>
            </w:r>
            <w:proofErr w:type="spellStart"/>
            <w:r w:rsidRPr="00A462DB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A462DB">
              <w:rPr>
                <w:rFonts w:ascii="Arial" w:hAnsi="Arial" w:cs="Arial"/>
                <w:color w:val="000000"/>
                <w:szCs w:val="24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Фонд оплаты труда учреждений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114 669,74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119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34 630,26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2A60CC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A60CC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  <w:p w:rsidR="002A60CC" w:rsidRPr="002A60CC" w:rsidRDefault="002A60CC" w:rsidP="002A60CC">
            <w:pPr>
              <w:tabs>
                <w:tab w:val="left" w:pos="921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ab/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60CC" w:rsidRDefault="002A60CC" w:rsidP="002A60CC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  <w:p w:rsidR="002A60CC" w:rsidRPr="002A60CC" w:rsidRDefault="002A60CC" w:rsidP="002A60CC">
            <w:pPr>
              <w:tabs>
                <w:tab w:val="left" w:pos="921"/>
              </w:tabs>
              <w:rPr>
                <w:rFonts w:ascii="Arial" w:hAnsi="Arial" w:cs="Arial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2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6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376 162,13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376 162,13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8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114 120,13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78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249 564,00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3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249 564,00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984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Софинансирование за счет средств местного бюджета по обеспечению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12 478,00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12 478,00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1 135 686,91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845 749,91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0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3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40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2A60CC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работ, услуг в целях капитального ремонта государственного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(муниципального) имущества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75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3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0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716 293,41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1 957 903,77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190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Расходы на содержание автомобильных дорог общего пользования местного значения городских </w:t>
            </w:r>
            <w:proofErr w:type="spellStart"/>
            <w:r w:rsidRPr="00A462DB">
              <w:rPr>
                <w:rFonts w:ascii="Arial" w:hAnsi="Arial" w:cs="Arial"/>
                <w:color w:val="000000"/>
                <w:szCs w:val="24"/>
              </w:rPr>
              <w:t>округов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,г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>ородских</w:t>
            </w:r>
            <w:proofErr w:type="spell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1 090 000,00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1 090 000,00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12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5 165 500,00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35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5 165 500,00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22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Долевое софинансирование за счет средств местного бюджета на содержание автомобильных дорог общего пользования местного значения городских </w:t>
            </w:r>
            <w:proofErr w:type="spellStart"/>
            <w:r w:rsidRPr="00A462DB">
              <w:rPr>
                <w:rFonts w:ascii="Arial" w:hAnsi="Arial" w:cs="Arial"/>
                <w:color w:val="000000"/>
                <w:szCs w:val="24"/>
              </w:rPr>
              <w:t>округов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,г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>ородских</w:t>
            </w:r>
            <w:proofErr w:type="spell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41400S090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63 142,59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41400S090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63 142,59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190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Долевое софинансирование за счет средств местного бюджета на содержание автомобильных дорог общего пользования местного значения городских округов,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t>городских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41400S080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13 080,00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41400S080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13 080,00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991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на формирование современной городской среды в рамках подпрограммы "Развитие транспортной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414F255550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22 161,26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9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414F2Д55550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22 161,26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414F255550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1 085 901,94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404 701,00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612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КУЛЬТУРА КИНОМОТОГРАФИЯ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A462DB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A462DB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264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Пособия, компенсации и иные социальные выплаты гражданам, кроме  публичных нормативных обязательств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A462DB">
              <w:rPr>
                <w:rFonts w:ascii="Arial" w:hAnsi="Arial" w:cs="Arial"/>
                <w:color w:val="FF0000"/>
                <w:szCs w:val="24"/>
              </w:rPr>
              <w:t>0,00</w:t>
            </w:r>
          </w:p>
        </w:tc>
      </w:tr>
      <w:tr w:rsidR="002A60CC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60CC" w:rsidRDefault="002A60CC" w:rsidP="002A60C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  <w:p w:rsidR="002A60CC" w:rsidRPr="00A462DB" w:rsidRDefault="002A60CC" w:rsidP="002A60C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60CC" w:rsidRDefault="002A60CC">
            <w:pPr>
              <w:rPr>
                <w:rFonts w:ascii="Arial" w:hAnsi="Arial" w:cs="Arial"/>
                <w:color w:val="000000"/>
                <w:szCs w:val="24"/>
              </w:rPr>
            </w:pPr>
          </w:p>
          <w:p w:rsidR="002A60CC" w:rsidRPr="00A462DB" w:rsidRDefault="002A60CC" w:rsidP="002A60C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A60CC" w:rsidRPr="00A462DB" w:rsidRDefault="002A60CC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66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377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595"/>
        </w:trPr>
        <w:tc>
          <w:tcPr>
            <w:tcW w:w="5384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Прочие безвозмездные перечисления в бюджет муниципального района от бюджетов сельских поселений в рамках непрограммных расходов органов местного самоуправления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90900ч0100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462DB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b/>
                <w:bCs/>
                <w:color w:val="660066"/>
                <w:szCs w:val="24"/>
              </w:rPr>
            </w:pPr>
            <w:r w:rsidRPr="00A462DB">
              <w:rPr>
                <w:rFonts w:ascii="Arial" w:hAnsi="Arial" w:cs="Arial"/>
                <w:b/>
                <w:bCs/>
                <w:color w:val="660066"/>
                <w:szCs w:val="24"/>
              </w:rPr>
              <w:t>Всего</w:t>
            </w:r>
          </w:p>
        </w:tc>
        <w:tc>
          <w:tcPr>
            <w:tcW w:w="21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25 339 </w:t>
            </w:r>
            <w:r w:rsidRPr="00A462DB">
              <w:rPr>
                <w:rFonts w:ascii="Arial" w:hAnsi="Arial" w:cs="Arial"/>
                <w:color w:val="000000"/>
                <w:szCs w:val="24"/>
              </w:rPr>
              <w:t>667,60</w:t>
            </w: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421" w:type="dxa"/>
          <w:wAfter w:w="424" w:type="dxa"/>
          <w:trHeight w:val="199"/>
        </w:trPr>
        <w:tc>
          <w:tcPr>
            <w:tcW w:w="53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 w:rsidP="00A462DB">
            <w:pPr>
              <w:autoSpaceDE w:val="0"/>
              <w:autoSpaceDN w:val="0"/>
              <w:adjustRightInd w:val="0"/>
              <w:spacing w:line="240" w:lineRule="auto"/>
              <w:ind w:left="396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462DB" w:rsidTr="002A60C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6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62DB" w:rsidRPr="00A462DB" w:rsidRDefault="00A462D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</w:tbl>
    <w:p w:rsidR="00061975" w:rsidRDefault="00061975"/>
    <w:sectPr w:rsidR="00061975" w:rsidSect="00A462DB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41"/>
    <w:rsid w:val="00061975"/>
    <w:rsid w:val="00237931"/>
    <w:rsid w:val="002A60CC"/>
    <w:rsid w:val="005E2C41"/>
    <w:rsid w:val="00634863"/>
    <w:rsid w:val="006875D0"/>
    <w:rsid w:val="006A63B9"/>
    <w:rsid w:val="00780667"/>
    <w:rsid w:val="00784CDB"/>
    <w:rsid w:val="00A462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4379</Words>
  <Characters>24964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2019-12-16T05:06:00Z</dcterms:created>
  <dcterms:modified xsi:type="dcterms:W3CDTF">2019-12-16T05:23:00Z</dcterms:modified>
</cp:coreProperties>
</file>